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13998A">
      <w:pPr>
        <w:pStyle w:val="2"/>
        <w:bidi w:val="0"/>
        <w:jc w:val="center"/>
      </w:pPr>
      <w:r>
        <w:rPr>
          <w:rFonts w:hint="eastAsia"/>
        </w:rPr>
        <w:t>报价函</w:t>
      </w:r>
    </w:p>
    <w:p w14:paraId="6172890D">
      <w:pPr>
        <w:rPr>
          <w:szCs w:val="21"/>
        </w:rPr>
      </w:pPr>
      <w:r>
        <w:t xml:space="preserve"> </w:t>
      </w:r>
    </w:p>
    <w:p w14:paraId="7D17E76E">
      <w:pPr>
        <w:widowControl/>
        <w:spacing w:beforeLines="50"/>
        <w:jc w:val="both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</w:rPr>
        <w:t>致:</w:t>
      </w:r>
      <w:r>
        <w:rPr>
          <w:rFonts w:hint="eastAsia" w:ascii="黑体" w:hAnsi="黑体" w:eastAsia="黑体" w:cs="黑体"/>
          <w:sz w:val="24"/>
          <w:szCs w:val="24"/>
          <w:u w:val="single"/>
        </w:rPr>
        <w:t>淮北市精神（心理）卫生中心</w:t>
      </w:r>
    </w:p>
    <w:p w14:paraId="051E85B4">
      <w:pPr>
        <w:widowControl/>
        <w:spacing w:line="360" w:lineRule="auto"/>
        <w:ind w:firstLine="566" w:firstLineChars="236"/>
        <w:jc w:val="both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</w:rPr>
        <w:t xml:space="preserve">根据谈判方的采购公告，遵照有关规定，经研究上述采购公告的相关内容后，我方愿意参加该项目的谈判,随同本函我方同时提供报价一览表： </w:t>
      </w:r>
    </w:p>
    <w:p w14:paraId="7A80E489">
      <w:pPr>
        <w:widowControl/>
        <w:spacing w:line="360" w:lineRule="auto"/>
        <w:ind w:firstLine="566" w:firstLineChars="236"/>
        <w:jc w:val="both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</w:rPr>
        <w:t>据此，我方宣布同意如下：</w:t>
      </w:r>
    </w:p>
    <w:p w14:paraId="2B51D170">
      <w:pPr>
        <w:pStyle w:val="6"/>
        <w:numPr>
          <w:ilvl w:val="1"/>
          <w:numId w:val="1"/>
        </w:numPr>
        <w:tabs>
          <w:tab w:val="left" w:pos="640"/>
        </w:tabs>
        <w:spacing w:line="360" w:lineRule="auto"/>
        <w:ind w:left="709" w:hanging="283" w:firstLineChars="0"/>
        <w:contextualSpacing/>
        <w:jc w:val="both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</w:rPr>
        <w:t>我方愿意以人民币（大写、小写）</w:t>
      </w:r>
      <w:r>
        <w:rPr>
          <w:rFonts w:hint="eastAsia" w:ascii="黑体" w:hAnsi="黑体" w:eastAsia="黑体" w:cs="黑体"/>
          <w:sz w:val="24"/>
          <w:szCs w:val="24"/>
          <w:u w:val="single"/>
        </w:rPr>
        <w:t>（</w:t>
      </w:r>
      <w:r>
        <w:rPr>
          <w:rFonts w:hint="eastAsia" w:ascii="黑体" w:hAnsi="黑体" w:eastAsia="黑体" w:cs="黑体"/>
          <w:sz w:val="24"/>
          <w:szCs w:val="24"/>
          <w:u w:val="single"/>
        </w:rPr>
        <w:tab/>
      </w:r>
      <w:r>
        <w:rPr>
          <w:rFonts w:hint="eastAsia" w:ascii="黑体" w:hAnsi="黑体" w:eastAsia="黑体" w:cs="黑体"/>
          <w:sz w:val="24"/>
          <w:szCs w:val="24"/>
          <w:u w:val="single"/>
        </w:rPr>
        <w:t>元）</w:t>
      </w:r>
      <w:r>
        <w:rPr>
          <w:rFonts w:hint="eastAsia" w:ascii="黑体" w:hAnsi="黑体" w:eastAsia="黑体" w:cs="黑体"/>
          <w:sz w:val="24"/>
          <w:szCs w:val="24"/>
        </w:rPr>
        <w:t>的报价（含税），按合同主要条款及相关规范、技术要求等，承诺除了在商务差异表中列明的偏差外，我方完全理解和接受采购文件的一切规定和要求，满足采购文件要求的质量标准，承担该项目。</w:t>
      </w:r>
    </w:p>
    <w:p w14:paraId="67B1376C">
      <w:pPr>
        <w:pStyle w:val="6"/>
        <w:numPr>
          <w:ilvl w:val="1"/>
          <w:numId w:val="1"/>
        </w:numPr>
        <w:spacing w:line="360" w:lineRule="auto"/>
        <w:ind w:left="709" w:hanging="283" w:firstLineChars="0"/>
        <w:contextualSpacing/>
        <w:jc w:val="both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</w:rPr>
        <w:t>我方已详细审核全部采购文件，包括修改文件及有关附件；我方放弃对采购文件有不明和误解的权利。</w:t>
      </w:r>
    </w:p>
    <w:p w14:paraId="3CAE898F">
      <w:pPr>
        <w:pStyle w:val="6"/>
        <w:numPr>
          <w:ilvl w:val="1"/>
          <w:numId w:val="1"/>
        </w:numPr>
        <w:spacing w:line="360" w:lineRule="auto"/>
        <w:ind w:left="709" w:hanging="283" w:firstLineChars="0"/>
        <w:contextualSpacing/>
        <w:jc w:val="both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</w:rPr>
        <w:t>我方承认报价函及相关文件是我方响应文件的组成部分。</w:t>
      </w:r>
    </w:p>
    <w:p w14:paraId="2E215581">
      <w:pPr>
        <w:pStyle w:val="6"/>
        <w:numPr>
          <w:ilvl w:val="1"/>
          <w:numId w:val="1"/>
        </w:numPr>
        <w:spacing w:line="360" w:lineRule="auto"/>
        <w:ind w:left="709" w:hanging="283" w:firstLineChars="0"/>
        <w:contextualSpacing/>
        <w:jc w:val="both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</w:rPr>
        <w:t>如果我方成交，我方将在规定的时间内同谈判方签订购销合同。如果违约，贵方有权中止我方成交并选择其它供应商。</w:t>
      </w:r>
    </w:p>
    <w:p w14:paraId="4C8CE0A2">
      <w:pPr>
        <w:pStyle w:val="6"/>
        <w:numPr>
          <w:ilvl w:val="1"/>
          <w:numId w:val="1"/>
        </w:numPr>
        <w:spacing w:line="360" w:lineRule="auto"/>
        <w:ind w:left="709" w:hanging="283" w:firstLineChars="0"/>
        <w:contextualSpacing/>
        <w:jc w:val="both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</w:rPr>
        <w:t>如果我方成交，我方将按照响应文件和合同的规定履行责任和义务；如果未成交，我方不争辩、不要求解释。</w:t>
      </w:r>
    </w:p>
    <w:p w14:paraId="4E689AD2">
      <w:pPr>
        <w:pStyle w:val="6"/>
        <w:numPr>
          <w:ilvl w:val="1"/>
          <w:numId w:val="1"/>
        </w:numPr>
        <w:spacing w:line="360" w:lineRule="auto"/>
        <w:ind w:left="709" w:hanging="283" w:firstLineChars="0"/>
        <w:contextualSpacing/>
        <w:jc w:val="both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</w:rPr>
        <w:t>我方同意所提交的响应文件在120日内有效。在此期间内如果成交，我方将受此约束。</w:t>
      </w:r>
    </w:p>
    <w:p w14:paraId="7FF1FFBD">
      <w:pPr>
        <w:pStyle w:val="6"/>
        <w:numPr>
          <w:ilvl w:val="1"/>
          <w:numId w:val="1"/>
        </w:numPr>
        <w:spacing w:line="360" w:lineRule="auto"/>
        <w:ind w:left="709" w:hanging="283" w:firstLineChars="0"/>
        <w:contextualSpacing/>
        <w:jc w:val="both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</w:rPr>
        <w:t>如另外达成协议并生效，贵方的采购文件、成交通知书、承诺函和本响应文件将成为约束双方的合同文件的组成部分。</w:t>
      </w:r>
    </w:p>
    <w:p w14:paraId="25CFF243">
      <w:pPr>
        <w:pStyle w:val="6"/>
        <w:tabs>
          <w:tab w:val="left" w:pos="6633"/>
        </w:tabs>
        <w:spacing w:line="360" w:lineRule="auto"/>
        <w:ind w:left="709" w:firstLine="0" w:firstLineChars="0"/>
        <w:contextualSpacing/>
        <w:jc w:val="both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</w:rPr>
        <w:t xml:space="preserve"> </w:t>
      </w:r>
    </w:p>
    <w:p w14:paraId="1B97CC1B">
      <w:pPr>
        <w:tabs>
          <w:tab w:val="left" w:pos="6633"/>
        </w:tabs>
        <w:spacing w:line="360" w:lineRule="auto"/>
        <w:contextualSpacing/>
        <w:jc w:val="both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</w:rPr>
        <w:t>供应商：（盖单位公章）</w:t>
      </w:r>
    </w:p>
    <w:p w14:paraId="3397C5D8">
      <w:pPr>
        <w:tabs>
          <w:tab w:val="left" w:pos="6633"/>
        </w:tabs>
        <w:spacing w:line="360" w:lineRule="auto"/>
        <w:contextualSpacing/>
        <w:jc w:val="both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</w:rPr>
        <w:t>法定代表人或其委托代理人：（签字或盖章）</w:t>
      </w:r>
    </w:p>
    <w:p w14:paraId="229945A9">
      <w:pPr>
        <w:tabs>
          <w:tab w:val="left" w:pos="6633"/>
        </w:tabs>
        <w:spacing w:line="360" w:lineRule="auto"/>
        <w:contextualSpacing/>
        <w:jc w:val="both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</w:rPr>
        <w:t xml:space="preserve"> </w:t>
      </w:r>
    </w:p>
    <w:p w14:paraId="7F8FD961">
      <w:pPr>
        <w:ind w:firstLine="2160" w:firstLineChars="900"/>
        <w:contextualSpacing/>
        <w:jc w:val="both"/>
        <w:rPr>
          <w:rFonts w:hint="eastAsia" w:ascii="黑体" w:hAnsi="黑体" w:eastAsia="黑体" w:cs="黑体"/>
          <w:sz w:val="24"/>
          <w:szCs w:val="24"/>
          <w:u w:val="single"/>
        </w:rPr>
      </w:pPr>
      <w:r>
        <w:rPr>
          <w:rFonts w:hint="eastAsia" w:ascii="黑体" w:hAnsi="黑体" w:eastAsia="黑体" w:cs="黑体"/>
          <w:sz w:val="24"/>
          <w:szCs w:val="24"/>
        </w:rPr>
        <w:t xml:space="preserve">年  </w:t>
      </w: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 xml:space="preserve">   </w:t>
      </w:r>
      <w:r>
        <w:rPr>
          <w:rFonts w:hint="eastAsia" w:ascii="黑体" w:hAnsi="黑体" w:eastAsia="黑体" w:cs="黑体"/>
          <w:sz w:val="24"/>
          <w:szCs w:val="24"/>
        </w:rPr>
        <w:t xml:space="preserve">月   </w:t>
      </w: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 xml:space="preserve">  </w:t>
      </w:r>
      <w:r>
        <w:rPr>
          <w:rFonts w:hint="eastAsia" w:ascii="黑体" w:hAnsi="黑体" w:eastAsia="黑体" w:cs="黑体"/>
          <w:sz w:val="24"/>
          <w:szCs w:val="24"/>
        </w:rPr>
        <w:t>日</w:t>
      </w:r>
    </w:p>
    <w:p w14:paraId="539C7541">
      <w:pPr>
        <w:pStyle w:val="3"/>
        <w:contextualSpacing/>
        <w:jc w:val="both"/>
        <w:rPr>
          <w:rFonts w:hint="eastAsia" w:ascii="黑体" w:hAnsi="黑体" w:eastAsia="黑体" w:cs="黑体"/>
          <w:sz w:val="24"/>
          <w:szCs w:val="24"/>
          <w:u w:val="none"/>
          <w:lang w:val="en-US" w:eastAsia="zh-CN"/>
        </w:rPr>
      </w:pPr>
      <w:r>
        <w:rPr>
          <w:rFonts w:hint="eastAsia" w:ascii="黑体" w:hAnsi="黑体" w:cs="黑体"/>
          <w:sz w:val="24"/>
          <w:szCs w:val="24"/>
          <w:u w:val="none"/>
          <w:lang w:val="en-US" w:eastAsia="zh-CN"/>
        </w:rPr>
        <w:t>附件一：</w:t>
      </w:r>
      <w:bookmarkStart w:id="0" w:name="_GoBack"/>
      <w:bookmarkEnd w:id="0"/>
    </w:p>
    <w:p w14:paraId="209A4904">
      <w:pPr>
        <w:pStyle w:val="3"/>
        <w:contextualSpacing/>
        <w:jc w:val="center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</w:rPr>
        <w:t>报价一览表</w:t>
      </w:r>
    </w:p>
    <w:tbl>
      <w:tblPr>
        <w:tblStyle w:val="4"/>
        <w:tblW w:w="8710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6"/>
        <w:gridCol w:w="1924"/>
        <w:gridCol w:w="1515"/>
        <w:gridCol w:w="836"/>
        <w:gridCol w:w="1675"/>
        <w:gridCol w:w="2244"/>
      </w:tblGrid>
      <w:tr w14:paraId="1E64DE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8407A3">
            <w:pPr>
              <w:widowControl/>
              <w:jc w:val="center"/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9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D578B1">
            <w:pPr>
              <w:widowControl/>
              <w:jc w:val="center"/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4"/>
                <w:szCs w:val="24"/>
              </w:rPr>
              <w:t>维修内容</w:t>
            </w:r>
          </w:p>
        </w:tc>
        <w:tc>
          <w:tcPr>
            <w:tcW w:w="15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B1100C">
            <w:pPr>
              <w:widowControl/>
              <w:jc w:val="center"/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4"/>
                <w:szCs w:val="24"/>
              </w:rPr>
              <w:t>维修材料规格型号</w:t>
            </w:r>
          </w:p>
        </w:tc>
        <w:tc>
          <w:tcPr>
            <w:tcW w:w="8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762645">
            <w:pPr>
              <w:widowControl/>
              <w:jc w:val="center"/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4"/>
                <w:szCs w:val="24"/>
              </w:rPr>
              <w:t>计量 单位</w:t>
            </w:r>
          </w:p>
        </w:tc>
        <w:tc>
          <w:tcPr>
            <w:tcW w:w="167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28999125">
            <w:pPr>
              <w:widowControl/>
              <w:jc w:val="center"/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4"/>
                <w:szCs w:val="24"/>
                <w:u w:val="words"/>
              </w:rPr>
            </w:pPr>
          </w:p>
          <w:p w14:paraId="11C63E41">
            <w:pPr>
              <w:widowControl/>
              <w:jc w:val="center"/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4"/>
                <w:szCs w:val="24"/>
              </w:rPr>
              <w:t>报价（元）</w:t>
            </w:r>
          </w:p>
        </w:tc>
        <w:tc>
          <w:tcPr>
            <w:tcW w:w="2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27E534">
            <w:pPr>
              <w:widowControl/>
              <w:jc w:val="center"/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 w14:paraId="021686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037662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9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5FFF4B7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疏通下水道</w:t>
            </w:r>
          </w:p>
        </w:tc>
        <w:tc>
          <w:tcPr>
            <w:tcW w:w="15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F7E4417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人工</w:t>
            </w:r>
          </w:p>
        </w:tc>
        <w:tc>
          <w:tcPr>
            <w:tcW w:w="8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AA6A6D4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次</w:t>
            </w:r>
          </w:p>
        </w:tc>
        <w:tc>
          <w:tcPr>
            <w:tcW w:w="167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6078CD29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</w:p>
        </w:tc>
        <w:tc>
          <w:tcPr>
            <w:tcW w:w="2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010EAD7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无材料费</w:t>
            </w:r>
          </w:p>
        </w:tc>
      </w:tr>
      <w:tr w14:paraId="73FEEF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6DECC1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2D617B5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疏通下水道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C3BFB42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机械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B254417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次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4A593B2D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605D7E8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无材料费</w:t>
            </w:r>
          </w:p>
        </w:tc>
      </w:tr>
      <w:tr w14:paraId="20502C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AB55C3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005E1C6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维修天花板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40131FD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8AAFAAC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平方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4CD4B5E7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E38F000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材料费另计</w:t>
            </w:r>
          </w:p>
        </w:tc>
      </w:tr>
      <w:tr w14:paraId="5DA0A1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CF7B21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774D162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更换天花板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66C72BB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铝塑扣板性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782825B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平方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5050C4CD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F696BE4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含材料费</w:t>
            </w:r>
          </w:p>
        </w:tc>
      </w:tr>
      <w:tr w14:paraId="720C39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27B4DB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EA130D1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天花板龙骨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4204093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软钢龙骨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DF07295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根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4954CDB1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7906435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材料费</w:t>
            </w:r>
          </w:p>
        </w:tc>
      </w:tr>
      <w:tr w14:paraId="3ACBC2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BF201F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54693EA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维修彩钢瓦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1F8491F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BC34582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平方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227887D1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B98A629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材料费另计</w:t>
            </w:r>
          </w:p>
        </w:tc>
      </w:tr>
      <w:tr w14:paraId="18DDF4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28E44A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8182372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刷乳胶漆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E81BAA4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材料费占60%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2248B68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平方米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6A10C3BA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0632190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含铲除、底胶</w:t>
            </w:r>
          </w:p>
        </w:tc>
      </w:tr>
      <w:tr w14:paraId="6BB7F0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8ADEB5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1D2EEA3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修补水泥地坪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A89139A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A3A63A9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平方米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4CA380F2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121D55B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含水泥、黄沙</w:t>
            </w:r>
          </w:p>
        </w:tc>
      </w:tr>
      <w:tr w14:paraId="07F81B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037AC6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7AB61ED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修补瓷砖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04A28D2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80型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3C715A0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块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57D33571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536F4B1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含辅材</w:t>
            </w:r>
          </w:p>
        </w:tc>
      </w:tr>
      <w:tr w14:paraId="557BAA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ACD77D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505D971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修补瓷砖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0D8FC56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60型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7A2BD93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块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6F38B9C6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B139FE0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含辅材</w:t>
            </w:r>
          </w:p>
        </w:tc>
      </w:tr>
      <w:tr w14:paraId="2539D0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9B90F4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B83473A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修补瓷砖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6EBB051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小面砖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EB8EFB3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块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3DA7B794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512AFB8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含辅材</w:t>
            </w:r>
          </w:p>
        </w:tc>
      </w:tr>
      <w:tr w14:paraId="75BECB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F51D9B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3C85460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抢修水管爆裂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D38B29E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5C8B349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次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702591DF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B12ACBF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材料费另计</w:t>
            </w:r>
          </w:p>
        </w:tc>
      </w:tr>
      <w:tr w14:paraId="405361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3CF1A0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4683D6F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维修管道漏水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41FE0FF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08FA270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次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29C5B0F3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B781EF4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难易程度商谈</w:t>
            </w:r>
          </w:p>
        </w:tc>
      </w:tr>
      <w:tr w14:paraId="3A9BDB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95AB7D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2D11A7A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维修推拉门跑道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F48217D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586F441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次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5B713353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8A112A7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材料费另计</w:t>
            </w:r>
          </w:p>
        </w:tc>
      </w:tr>
      <w:tr w14:paraId="25E38B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2799BB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663B2A9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维修塑胶地板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67146BB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7889AF5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平方米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6DE30FC3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4B676CD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含材料费</w:t>
            </w:r>
          </w:p>
        </w:tc>
      </w:tr>
      <w:tr w14:paraId="7E10F6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0A8043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CCDA8A">
            <w:pPr>
              <w:widowControl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安装塑胶地板压条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D9E1120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C3C9244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根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6319E31B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66A0CB8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含材料费</w:t>
            </w:r>
          </w:p>
        </w:tc>
      </w:tr>
      <w:tr w14:paraId="46B088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CCF93C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1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6C2E6F">
            <w:pPr>
              <w:widowControl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贴地板砖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1FFEED8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F0FDA29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平方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0D0216ED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802781D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材料费另计</w:t>
            </w:r>
          </w:p>
        </w:tc>
      </w:tr>
      <w:tr w14:paraId="1E17D9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5373FB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81057C2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维修木地板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B2A40AE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89934CC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平方米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6E3AB427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17890EA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含材料费</w:t>
            </w:r>
          </w:p>
        </w:tc>
      </w:tr>
      <w:tr w14:paraId="77F27C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4AC8CE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1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101F06E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打过墙洞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B731997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小型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02646DA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个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6C5D61B8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3946223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0063AD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42A7A3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1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9412339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打过墙洞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72118EB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中型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2DFBF10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个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6C5EF677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8A94E1D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1DD759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EE24FF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1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B87897B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打过墙洞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5F1080C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大型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4307DCE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个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2DC3F6F8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AB2C4C0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根据实际情况商谈</w:t>
            </w:r>
          </w:p>
        </w:tc>
      </w:tr>
      <w:tr w14:paraId="51EAE9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E33BFD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1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80E3319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维修便池感应阀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61440BC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83CE254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次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15888CFC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3D90C8D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材料费另计</w:t>
            </w:r>
          </w:p>
        </w:tc>
      </w:tr>
      <w:tr w14:paraId="7D0432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E8B2B3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1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329E6BB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打墙洞，换阀带恢复墙面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53F1046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0E7ADDB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次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094E147B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4CE8F9A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条件难的，商议</w:t>
            </w:r>
          </w:p>
        </w:tc>
      </w:tr>
      <w:tr w14:paraId="4B8FDE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3E08C4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1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E559A0B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更换大理石洗手台面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8AD60C9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58C3918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套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0FEC4D23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BE28A3F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含材料及安装费</w:t>
            </w:r>
          </w:p>
        </w:tc>
      </w:tr>
      <w:tr w14:paraId="69443E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C33CB2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1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F1FD314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防冻保温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9605CEE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6D89CDA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米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744E75C1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C61093D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含材料费</w:t>
            </w:r>
          </w:p>
        </w:tc>
      </w:tr>
      <w:tr w14:paraId="5C5354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D8FACF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1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12FEFB9">
            <w:pPr>
              <w:widowControl/>
              <w:rPr>
                <w:rFonts w:hint="eastAsia" w:ascii="黑体" w:hAnsi="黑体" w:eastAsia="黑体" w:cs="黑体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窗纱更换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360659B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32D06DF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扇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0A94AB17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4B289A7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　材料费另计</w:t>
            </w:r>
          </w:p>
        </w:tc>
      </w:tr>
      <w:tr w14:paraId="792B90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12271E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9DFA28A">
            <w:pPr>
              <w:widowControl/>
              <w:rPr>
                <w:rFonts w:hint="eastAsia" w:ascii="黑体" w:hAnsi="黑体" w:eastAsia="黑体" w:cs="黑体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临时用工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FB56328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AA1CE0B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小时/人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7CB9AE2B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FDF2D33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308DC4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F1289E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5C6F2E3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SBS防水处理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D4D7D96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D812689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平方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577A8956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8BCC187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含材料费</w:t>
            </w:r>
          </w:p>
        </w:tc>
      </w:tr>
      <w:tr w14:paraId="6611E7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1DC50C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4003BA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维修门窗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0BF553B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480197D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次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6696AE7D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B288309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根据难易程度，商议</w:t>
            </w:r>
          </w:p>
        </w:tc>
      </w:tr>
      <w:tr w14:paraId="60C5C5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1E3CD2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170EE93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下水道盖板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EE297A3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119B939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每块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7F6FC1E0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E99E5B0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含材料费</w:t>
            </w:r>
          </w:p>
        </w:tc>
      </w:tr>
      <w:tr w14:paraId="56372A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24AD96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C79E329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延时阀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C0F64B0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F1CAA83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个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054394A2">
            <w:pPr>
              <w:widowControl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3EF9A1">
            <w:pPr>
              <w:widowControl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材料费另计</w:t>
            </w:r>
          </w:p>
        </w:tc>
      </w:tr>
      <w:tr w14:paraId="7824B5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0B6949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1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6D4F33F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三角阀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63573D3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3646B76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个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7D265A3F">
            <w:pPr>
              <w:widowControl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128CF0">
            <w:pPr>
              <w:widowControl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材料费另计</w:t>
            </w:r>
          </w:p>
        </w:tc>
      </w:tr>
      <w:tr w14:paraId="5B7DC2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83C1FA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1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A6E26EC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脚踩阀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5121849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338BFFB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个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6C29FEA3">
            <w:pPr>
              <w:widowControl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0493D4">
            <w:pPr>
              <w:widowControl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材料费另计</w:t>
            </w:r>
          </w:p>
        </w:tc>
      </w:tr>
      <w:tr w14:paraId="7FED97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5CC350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1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4C501E2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安装洗手盆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B749C6F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165EF7A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个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47EDD82E">
            <w:pPr>
              <w:widowControl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7424B0">
            <w:pPr>
              <w:widowControl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材料费另计</w:t>
            </w:r>
          </w:p>
        </w:tc>
      </w:tr>
      <w:tr w14:paraId="51A3BD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AC194C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1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15AF0AE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安装马桶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577D5B1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13EF5A8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个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039560BD">
            <w:pPr>
              <w:widowControl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080121">
            <w:pPr>
              <w:widowControl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材料费另计</w:t>
            </w:r>
          </w:p>
        </w:tc>
      </w:tr>
      <w:tr w14:paraId="42A56D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4AC486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1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6000280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小便池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1F8B2DA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立式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D294DB5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个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15F270E5">
            <w:pPr>
              <w:widowControl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97BD1B">
            <w:pPr>
              <w:widowControl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材料费另计</w:t>
            </w:r>
          </w:p>
        </w:tc>
      </w:tr>
      <w:tr w14:paraId="3B9DFF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3FF06D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1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0C0AE08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立式面盆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906C09B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4C78DFE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个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61433037">
            <w:pPr>
              <w:widowControl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D18BE2">
            <w:pPr>
              <w:widowControl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材料费另计</w:t>
            </w:r>
          </w:p>
        </w:tc>
      </w:tr>
      <w:tr w14:paraId="2CF88F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6E19A4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1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7B43EF5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弯头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E4E9D0E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7B5F9FD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只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2789510A">
            <w:pPr>
              <w:widowControl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E96995">
            <w:pPr>
              <w:widowControl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材料费另计</w:t>
            </w:r>
          </w:p>
        </w:tc>
      </w:tr>
      <w:tr w14:paraId="0D6394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146368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1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80F9B91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闸阀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EE32284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628F275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个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3BCBAB9D">
            <w:pPr>
              <w:widowControl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634E44">
            <w:pPr>
              <w:widowControl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材料费另计</w:t>
            </w:r>
          </w:p>
        </w:tc>
      </w:tr>
      <w:tr w14:paraId="64C672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E942E7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1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1438B86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PVC管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7EA6A22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18F67C9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米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2F8CE707">
            <w:pPr>
              <w:widowControl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0B3330">
            <w:pPr>
              <w:widowControl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材料费另计</w:t>
            </w:r>
          </w:p>
        </w:tc>
      </w:tr>
      <w:tr w14:paraId="5C54A5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0769C6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1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3650AF1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PPR管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EE119EA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9ED6C58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米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3253A187">
            <w:pPr>
              <w:widowControl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AE92A5">
            <w:pPr>
              <w:widowControl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材料费另计</w:t>
            </w:r>
          </w:p>
        </w:tc>
      </w:tr>
      <w:tr w14:paraId="24E541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BAA728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42</w:t>
            </w:r>
          </w:p>
        </w:tc>
        <w:tc>
          <w:tcPr>
            <w:tcW w:w="1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590E310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PE管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68D60CF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6ED483C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米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5ECF1B2C">
            <w:pPr>
              <w:widowControl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D8FD7A">
            <w:pPr>
              <w:widowControl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材料费另计</w:t>
            </w:r>
          </w:p>
        </w:tc>
      </w:tr>
      <w:tr w14:paraId="0890E3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A4EDEE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</w:p>
        </w:tc>
        <w:tc>
          <w:tcPr>
            <w:tcW w:w="1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ED6A060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2385CA7">
            <w:pPr>
              <w:widowControl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053A5A4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6CCFBE09">
            <w:pPr>
              <w:widowControl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84A79F">
            <w:pPr>
              <w:widowControl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words"/>
              </w:rPr>
            </w:pPr>
          </w:p>
        </w:tc>
      </w:tr>
    </w:tbl>
    <w:p w14:paraId="0DF0B28C">
      <w:pPr>
        <w:widowControl/>
        <w:rPr>
          <w:rFonts w:hint="eastAsia" w:ascii="黑体" w:hAnsi="黑体" w:eastAsia="黑体" w:cs="黑体"/>
          <w:b/>
          <w:color w:val="000000"/>
          <w:kern w:val="0"/>
          <w:sz w:val="24"/>
          <w:szCs w:val="24"/>
          <w:u w:val="words"/>
        </w:rPr>
      </w:pPr>
      <w:r>
        <w:rPr>
          <w:rFonts w:hint="eastAsia" w:ascii="黑体" w:hAnsi="黑体" w:eastAsia="黑体" w:cs="黑体"/>
          <w:b/>
          <w:color w:val="000000"/>
          <w:kern w:val="0"/>
          <w:sz w:val="24"/>
          <w:szCs w:val="24"/>
        </w:rPr>
        <w:t xml:space="preserve"> </w:t>
      </w:r>
    </w:p>
    <w:p w14:paraId="6CF35E6D">
      <w:pPr>
        <w:widowControl/>
        <w:ind w:firstLine="241" w:firstLineChars="100"/>
        <w:rPr>
          <w:rFonts w:hint="eastAsia" w:ascii="黑体" w:hAnsi="黑体" w:eastAsia="黑体" w:cs="黑体"/>
          <w:b/>
          <w:color w:val="000000"/>
          <w:kern w:val="0"/>
          <w:sz w:val="24"/>
          <w:szCs w:val="24"/>
        </w:rPr>
      </w:pPr>
      <w:r>
        <w:rPr>
          <w:rFonts w:hint="eastAsia" w:ascii="黑体" w:hAnsi="黑体" w:eastAsia="黑体" w:cs="黑体"/>
          <w:b/>
          <w:color w:val="000000"/>
          <w:kern w:val="0"/>
          <w:sz w:val="24"/>
          <w:szCs w:val="24"/>
        </w:rPr>
        <w:t>单价合计:</w:t>
      </w:r>
      <w:r>
        <w:rPr>
          <w:rFonts w:hint="eastAsia" w:ascii="黑体" w:hAnsi="黑体" w:eastAsia="黑体" w:cs="黑体"/>
          <w:b/>
          <w:color w:val="000000"/>
          <w:kern w:val="0"/>
          <w:sz w:val="24"/>
          <w:szCs w:val="24"/>
          <w:u w:val="single"/>
        </w:rPr>
        <w:t xml:space="preserve">        </w:t>
      </w:r>
      <w:r>
        <w:rPr>
          <w:rFonts w:hint="eastAsia" w:ascii="黑体" w:hAnsi="黑体" w:eastAsia="黑体" w:cs="黑体"/>
          <w:b/>
          <w:color w:val="000000"/>
          <w:kern w:val="0"/>
          <w:sz w:val="24"/>
          <w:szCs w:val="24"/>
        </w:rPr>
        <w:t>元</w:t>
      </w:r>
    </w:p>
    <w:p w14:paraId="1037EA6D">
      <w:pPr>
        <w:spacing w:line="360" w:lineRule="atLeast"/>
        <w:contextualSpacing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</w:rPr>
        <w:t xml:space="preserve"> </w:t>
      </w:r>
    </w:p>
    <w:p w14:paraId="028FD951">
      <w:pPr>
        <w:spacing w:line="360" w:lineRule="atLeast"/>
        <w:contextualSpacing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</w:rPr>
        <w:t>注：以上表格可按此格式扩展。</w:t>
      </w:r>
    </w:p>
    <w:p w14:paraId="50482F34">
      <w:pPr>
        <w:spacing w:line="360" w:lineRule="atLeast"/>
        <w:contextualSpacing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</w:rPr>
        <w:t>供应商:(盖公章)</w:t>
      </w:r>
    </w:p>
    <w:p w14:paraId="07AF906E">
      <w:pPr>
        <w:spacing w:line="360" w:lineRule="atLeast"/>
        <w:contextualSpacing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</w:rPr>
        <w:t>法定代表人或授权委托代理人:(签字或盖章)</w:t>
      </w:r>
    </w:p>
    <w:p w14:paraId="1C171B23">
      <w:pPr>
        <w:spacing w:line="360" w:lineRule="atLeast"/>
        <w:contextualSpacing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</w:rPr>
        <w:t xml:space="preserve"> </w:t>
      </w:r>
    </w:p>
    <w:p w14:paraId="5BC46FE7">
      <w:r>
        <w:rPr>
          <w:rFonts w:hint="eastAsia" w:ascii="黑体" w:hAnsi="黑体" w:eastAsia="黑体" w:cs="黑体"/>
          <w:sz w:val="24"/>
          <w:szCs w:val="24"/>
        </w:rPr>
        <w:t>日期：</w:t>
      </w: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 xml:space="preserve">    </w:t>
      </w:r>
      <w:r>
        <w:rPr>
          <w:rFonts w:hint="eastAsia" w:ascii="黑体" w:hAnsi="黑体" w:eastAsia="黑体" w:cs="黑体"/>
          <w:sz w:val="24"/>
          <w:szCs w:val="24"/>
        </w:rPr>
        <w:t xml:space="preserve">年 </w:t>
      </w: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 xml:space="preserve">     </w:t>
      </w:r>
      <w:r>
        <w:rPr>
          <w:rFonts w:hint="eastAsia" w:ascii="黑体" w:hAnsi="黑体" w:eastAsia="黑体" w:cs="黑体"/>
          <w:sz w:val="24"/>
          <w:szCs w:val="24"/>
        </w:rPr>
        <w:t xml:space="preserve">月  </w:t>
      </w: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 xml:space="preserve">   </w:t>
      </w:r>
      <w:r>
        <w:rPr>
          <w:rFonts w:hint="eastAsia" w:ascii="黑体" w:hAnsi="黑体" w:eastAsia="黑体" w:cs="黑体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48C22A2"/>
    <w:multiLevelType w:val="multilevel"/>
    <w:tmpl w:val="048C22A2"/>
    <w:lvl w:ilvl="0" w:tentative="0">
      <w:start w:val="1"/>
      <w:numFmt w:val="decimal"/>
      <w:lvlText w:val="%1."/>
      <w:lvlJc w:val="left"/>
      <w:pPr>
        <w:ind w:left="900" w:hanging="420"/>
      </w:pPr>
      <w:rPr>
        <w:rFonts w:hint="eastAsia" w:ascii="宋体" w:hAnsi="宋体" w:eastAsia="宋体"/>
      </w:rPr>
    </w:lvl>
    <w:lvl w:ilvl="1" w:tentative="0">
      <w:start w:val="1"/>
      <w:numFmt w:val="decimal"/>
      <w:lvlText w:val="%2."/>
      <w:lvlJc w:val="left"/>
      <w:pPr>
        <w:ind w:left="1260" w:hanging="360"/>
      </w:pPr>
      <w:rPr>
        <w:rFonts w:hint="default" w:ascii="Times New Roman" w:hAnsi="Times New Roman" w:cs="Times New Roman"/>
      </w:rPr>
    </w:lvl>
    <w:lvl w:ilvl="2" w:tentative="0">
      <w:start w:val="1"/>
      <w:numFmt w:val="lowerRoman"/>
      <w:lvlText w:val="%3."/>
      <w:lvlJc w:val="right"/>
      <w:pPr>
        <w:ind w:left="1740" w:hanging="420"/>
      </w:pPr>
      <w:rPr>
        <w:rFonts w:hint="default" w:ascii="Times New Roman" w:hAnsi="Times New Roman" w:cs="Times New Roman"/>
      </w:rPr>
    </w:lvl>
    <w:lvl w:ilvl="3" w:tentative="0">
      <w:start w:val="1"/>
      <w:numFmt w:val="decimal"/>
      <w:lvlText w:val="%4."/>
      <w:lvlJc w:val="left"/>
      <w:pPr>
        <w:ind w:left="2160" w:hanging="420"/>
      </w:pPr>
      <w:rPr>
        <w:rFonts w:hint="default" w:ascii="Times New Roman" w:hAnsi="Times New Roman" w:cs="Times New Roman"/>
      </w:rPr>
    </w:lvl>
    <w:lvl w:ilvl="4" w:tentative="0">
      <w:start w:val="1"/>
      <w:numFmt w:val="lowerLetter"/>
      <w:lvlText w:val="%5)"/>
      <w:lvlJc w:val="left"/>
      <w:pPr>
        <w:ind w:left="2580" w:hanging="420"/>
      </w:pPr>
      <w:rPr>
        <w:rFonts w:hint="default" w:ascii="Times New Roman" w:hAnsi="Times New Roman" w:cs="Times New Roman"/>
      </w:rPr>
    </w:lvl>
    <w:lvl w:ilvl="5" w:tentative="0">
      <w:start w:val="1"/>
      <w:numFmt w:val="lowerRoman"/>
      <w:lvlText w:val="%6."/>
      <w:lvlJc w:val="right"/>
      <w:pPr>
        <w:ind w:left="3000" w:hanging="420"/>
      </w:pPr>
      <w:rPr>
        <w:rFonts w:hint="default" w:ascii="Times New Roman" w:hAnsi="Times New Roman" w:cs="Times New Roman"/>
      </w:rPr>
    </w:lvl>
    <w:lvl w:ilvl="6" w:tentative="0">
      <w:start w:val="1"/>
      <w:numFmt w:val="decimal"/>
      <w:lvlText w:val="%7."/>
      <w:lvlJc w:val="left"/>
      <w:pPr>
        <w:ind w:left="3420" w:hanging="420"/>
      </w:pPr>
      <w:rPr>
        <w:rFonts w:hint="default" w:ascii="Times New Roman" w:hAnsi="Times New Roman" w:cs="Times New Roman"/>
      </w:rPr>
    </w:lvl>
    <w:lvl w:ilvl="7" w:tentative="0">
      <w:start w:val="1"/>
      <w:numFmt w:val="lowerLetter"/>
      <w:lvlText w:val="%8)"/>
      <w:lvlJc w:val="left"/>
      <w:pPr>
        <w:ind w:left="3840" w:hanging="420"/>
      </w:pPr>
      <w:rPr>
        <w:rFonts w:hint="default" w:ascii="Times New Roman" w:hAnsi="Times New Roman" w:cs="Times New Roman"/>
      </w:rPr>
    </w:lvl>
    <w:lvl w:ilvl="8" w:tentative="0">
      <w:start w:val="1"/>
      <w:numFmt w:val="lowerRoman"/>
      <w:lvlText w:val="%9."/>
      <w:lvlJc w:val="right"/>
      <w:pPr>
        <w:ind w:left="4260" w:hanging="420"/>
      </w:pPr>
      <w:rPr>
        <w:rFonts w:hint="default" w:ascii="Times New Roman" w:hAnsi="Times New Roman"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7191CD3"/>
    <w:rsid w:val="7DBB5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qFormat/>
    <w:uiPriority w:val="99"/>
    <w:pPr>
      <w:keepNext/>
      <w:keepLines/>
      <w:spacing w:before="260" w:after="260" w:line="412" w:lineRule="auto"/>
      <w:outlineLvl w:val="1"/>
    </w:pPr>
    <w:rPr>
      <w:rFonts w:ascii="Arial" w:hAnsi="Arial" w:eastAsia="黑体" w:cs="Arial"/>
      <w:b/>
      <w:sz w:val="32"/>
      <w:szCs w:val="32"/>
      <w:u w:val="words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List Paragraph"/>
    <w:basedOn w:val="1"/>
    <w:qFormat/>
    <w:uiPriority w:val="99"/>
    <w:pPr>
      <w:ind w:firstLine="420" w:firstLineChars="200"/>
    </w:pPr>
    <w:rPr>
      <w:rFonts w:ascii="Times New Roman" w:hAnsi="Times New Roman" w:eastAsia="宋体" w:cs="Times New Roman"/>
      <w:szCs w:val="21"/>
      <w:u w:val="word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1095</Words>
  <Characters>1143</Characters>
  <Lines>0</Lines>
  <Paragraphs>0</Paragraphs>
  <TotalTime>2</TotalTime>
  <ScaleCrop>false</ScaleCrop>
  <LinksUpToDate>false</LinksUpToDate>
  <CharactersWithSpaces>1217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2026-09-07T06:37:00Z</dcterms:created>
  <dc:creator>PC-102Liu</dc:creator>
  <cp:lastModifiedBy>时间海？</cp:lastModifiedBy>
  <dcterms:modified xsi:type="dcterms:W3CDTF">2026-09-07T06:52:41Z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eyJoZGlkIjoiMzZkOGI4Y2MyMjk2ZDY2NzQ1ZDJiMjY3MjlkMzE3ZTYiLCJ1c2VySWQiOiIzMDMyMzg1NjIifQ==</vt:lpwstr>
  </property>
  <property fmtid="{D5CDD505-2E9C-101B-9397-08002B2CF9AE}" pid="4" name="ICV">
    <vt:lpwstr>3F0999376E884C3CA3E2615D96D861B2_12</vt:lpwstr>
  </property>
</Properties>
</file>