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65B29">
      <w:pPr>
        <w:ind w:firstLine="883" w:firstLineChars="200"/>
        <w:rPr>
          <w:rStyle w:val="5"/>
        </w:rPr>
      </w:pPr>
      <w:r>
        <w:rPr>
          <w:rStyle w:val="5"/>
        </w:rPr>
        <w:t>病理标本采样送检标准化手册</w:t>
      </w:r>
    </w:p>
    <w:p w14:paraId="44AA694E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一：</w:t>
      </w:r>
      <w:r>
        <w:rPr>
          <w:rFonts w:hint="eastAsia" w:ascii="新宋体" w:hAnsi="新宋体" w:eastAsia="新宋体" w:cs="新宋体"/>
          <w:sz w:val="28"/>
          <w:szCs w:val="28"/>
        </w:rPr>
        <w:t>核心原则 准确性：标本必须来自病变目标组织，标识无误。 完整性：确保标本完整，避免人为破坏。 及时性：在规定时间内完成固定和送检。 规范性：遵循标准操作流程，信息填写完整。 安全性：做好个人防护和标本生物安全管理。</w:t>
      </w:r>
    </w:p>
    <w:p w14:paraId="740C6138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二：</w:t>
      </w:r>
      <w:r>
        <w:rPr>
          <w:rFonts w:hint="eastAsia" w:ascii="新宋体" w:hAnsi="新宋体" w:eastAsia="新宋体" w:cs="新宋体"/>
          <w:sz w:val="28"/>
          <w:szCs w:val="28"/>
        </w:rPr>
        <w:t>通用采样前准备 沟通告知：向患者/家属说明操作目的、风险，签署知情同意书。 核对信息：核对患者身份、病变部位与申请单信息一致。 物品准备： 容器：根据标本大小选择足量、合适的专用标本袋或容器。 固定液：10%中性缓冲福尔马林（最常用），液量至少为标本体积的5-10倍。 申请单：预先填写完整（电子或纸质）。 个人防护装备：手套、口罩、隔离衣、护目镜等。 采样器械：合适的活检针、手术刀、剪刀等。</w:t>
      </w:r>
    </w:p>
    <w:p w14:paraId="6FD4DCA1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三：</w:t>
      </w:r>
      <w:r>
        <w:rPr>
          <w:rFonts w:hint="eastAsia" w:ascii="新宋体" w:hAnsi="新宋体" w:eastAsia="新宋体" w:cs="新宋体"/>
          <w:sz w:val="28"/>
          <w:szCs w:val="28"/>
        </w:rPr>
        <w:t xml:space="preserve">各类标本采样与固定具体要求 A. 小活检标本 （如内镜活检、穿刺活检、皮肤活检等） 采样： 钳取或穿刺时避开坏死区域，取有代表性的病变组织。 轻柔操作，避免过度挤压、牵拉。 固定： 立即将组织展平放在小滤纸片上，然后投入福尔马林固定液。 避免：将组织直接干涸在纱布、棉签或器械上。 重要提示：对需要做免疫组化/分子检测的标本（如淋巴瘤、肿瘤等），有条件时应额外留取新鲜组织速冻保存（-80°C），并事先与病理科沟通。 B. 大标本与手术切除标本 采样与初步处理： 手术切除后，主刀医生应在新鲜状态下，向病理医生或在场人员指出重要解剖标志、切缘、病变部位。 如需进行术中冰冻快速病理，应立即电话通知病理科，并将新鲜、未固定的标本连同申请单快速送达。 不需冰冻的标本，应尽快沿最大面剖开，以利于固定液充分渗透。 固定： 使用足够大的容器，注入足量福尔马林。 体积大的实质脏器（如肝、脾、肾）或肿瘤，需每隔1cm作平行剖面。 空腔脏器（如胃、肠、膀胱）应剪开，展平固定，黏膜面朝上。 肺组织可在固定液中漂浮，上覆湿纱布以确保浸没。 C. 细胞学标本 （如体液、刷检、细针穿刺抽吸） 液体标本（胸腹水、心包积液、尿液等）： 新鲜送检，量至少&gt;50ml，最好&gt;200ml。 使用无菌容器，不可添加固定液或防腐剂。 立即送检，如需延迟，可暂时4°C冷藏（不超过24小时）。 细针穿刺细胞学： 涂片应薄而均匀，立即用95%酒精湿固定（用于巴氏染色）或空气干燥（用于吉姆萨染色）。 标明涂片顺序，并同时将穿刺物洗入细胞保存液（如液基细胞学专用液）中送检。 D. 特殊检查标本 微生物培养/电镜：需专用容器，严禁使用福尔马林。具体要求需提前与微生物室或电镜室确认。 冰冻保存：用于分子病理学研究的组织，离体后应尽快置于冻存管，放入液氮或-80°C冰箱，并详细标记。 遗传代谢病：某些需特殊处理，如皮肤成纤维细胞培养。 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四：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标本标识与信息填写 容器标识：在容器标签上清晰注明： 患者姓名、住院号/病历号。 标本部位、来源。 采样日期、时间。 病理申请单填写（至关重要！）： 所有项目必须逐项填写，字迹工整。 关键信息：患者基本信息、临床诊断、病史摘要（特别是相关手术、放化疗史）、标本具体部位及数量、手术所见、送检医生及联系电话。 妇科内膜、宫颈等标本必须注明月经史。</w:t>
      </w:r>
    </w:p>
    <w:p w14:paraId="7364024A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五：</w:t>
      </w:r>
      <w:r>
        <w:rPr>
          <w:rFonts w:hint="eastAsia" w:ascii="新宋体" w:hAnsi="新宋体" w:eastAsia="新宋体" w:cs="新宋体"/>
          <w:sz w:val="28"/>
          <w:szCs w:val="28"/>
        </w:rPr>
        <w:t>送检流程 核对：将标本容器与申请单信息逐一核对，确保无误。 包装：将容器密封后放入专用标本转运袋。福尔马林容器必须密封严实，防止泄漏。多个标本应分开包装。 运输： 由专人及时送检。 避免阳光直射、高温或剧烈震荡。 遵循生物安全运输规定。 交接：与病理科接收人员当面清点、核对、签收。</w:t>
      </w:r>
    </w:p>
    <w:p w14:paraId="3DE1837D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六：</w:t>
      </w:r>
      <w:r>
        <w:rPr>
          <w:rFonts w:hint="eastAsia" w:ascii="新宋体" w:hAnsi="新宋体" w:eastAsia="新宋体" w:cs="新宋体"/>
          <w:sz w:val="28"/>
          <w:szCs w:val="28"/>
        </w:rPr>
        <w:t>常见错误与注意事项 绝对禁止： 标本干涸。 固定液不足。 标识错误或信息不全。 将不同患者或不同部位的标本混放于同一容器。 特别注意： 淋巴结：尽量完整送检，新鲜标本对淋巴瘤诊断至关重要。 乳腺钙化灶：切除后需进行钼靶摄片定位，并将影像结果一并送病理科。 骨组织：需脱钙处理，应单独标注。 微小组织：用滤纸或专用小盒包装，防止漏出或丢失。</w:t>
      </w:r>
    </w:p>
    <w:p w14:paraId="35A4C545">
      <w:pPr>
        <w:numPr>
          <w:numId w:val="0"/>
        </w:numPr>
        <w:ind w:left="140" w:leftChars="0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  <w:bookmarkStart w:id="0" w:name="_GoBack"/>
      <w:r>
        <w:rPr>
          <w:rFonts w:hint="eastAsia" w:ascii="新宋体" w:hAnsi="新宋体" w:eastAsia="新宋体" w:cs="新宋体"/>
          <w:b/>
          <w:bCs/>
          <w:sz w:val="28"/>
          <w:szCs w:val="28"/>
        </w:rPr>
        <w:t>七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：</w:t>
      </w:r>
      <w:bookmarkEnd w:id="0"/>
      <w:r>
        <w:rPr>
          <w:rFonts w:hint="eastAsia" w:ascii="新宋体" w:hAnsi="新宋体" w:eastAsia="新宋体" w:cs="新宋体"/>
          <w:sz w:val="28"/>
          <w:szCs w:val="28"/>
        </w:rPr>
        <w:t>与病理科的沟通 对复杂、疑难或特殊情况（如疑似传染病、需特殊检测等），送检前务必电话联系病理科，获取专业指导。 及时追踪病理报告，对有疑问的结果，积极与病理医生沟通。 附录：快速参考清单 步骤 关键点 采样前 核对信息、签署同意、备齐物品（容器、足量福尔马林） 采样时 取代表性病变，避免挤压，小组织展平 固定 立即固定，液量：标本体积的5-10倍 标识 容器双标识（姓名、ID、部位），申请单填写完整 送检 密封防漏，及时送检，当面交接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03AFB"/>
    <w:rsid w:val="1D50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大脸猫</cp:lastModifiedBy>
  <dcterms:modified xsi:type="dcterms:W3CDTF">2025-12-10T02:27:41Z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eyJoZGlkIjoiMzBiODBmMDU2YjE1MzI1OWM4OTdhZTcyNmUxMzIyMTYiLCJ1c2VySWQiOiI4NzIzNTc0ODEifQ==</vt:lpwstr>
  </property>
  <property fmtid="{D5CDD505-2E9C-101B-9397-08002B2CF9AE}" pid="4" name="ICV">
    <vt:lpwstr>89B66FDAAAD3446EA64134E75797EE15_12</vt:lpwstr>
  </property>
</Properties>
</file>