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DD1C8EC">
      <w:pPr>
        <w:jc w:val="center"/>
        <w:rPr>
          <w:rFonts w:hint="eastAsia" w:ascii="宋体" w:hAnsi="宋体" w:eastAsia="宋体" w:cs="宋体"/>
          <w:b/>
          <w:color w:val="auto"/>
          <w:sz w:val="44"/>
          <w:szCs w:val="44"/>
        </w:rPr>
      </w:pPr>
    </w:p>
    <w:p w14:paraId="6CB2B6BB">
      <w:pPr>
        <w:keepNext w:val="0"/>
        <w:keepLines w:val="0"/>
        <w:pageBreakBefore w:val="0"/>
        <w:kinsoku/>
        <w:wordWrap/>
        <w:overflowPunct/>
        <w:topLinePunct w:val="0"/>
        <w:autoSpaceDE/>
        <w:autoSpaceDN/>
        <w:bidi w:val="0"/>
        <w:adjustRightInd/>
        <w:snapToGrid/>
        <w:spacing w:line="360" w:lineRule="auto"/>
        <w:jc w:val="both"/>
        <w:outlineLvl w:val="9"/>
        <w:rPr>
          <w:rFonts w:hint="eastAsia" w:ascii="宋体" w:hAnsi="宋体" w:eastAsia="宋体" w:cs="宋体"/>
          <w:b/>
          <w:color w:val="auto"/>
          <w:sz w:val="44"/>
          <w:szCs w:val="44"/>
        </w:rPr>
      </w:pPr>
    </w:p>
    <w:p w14:paraId="6ECE384D">
      <w:pPr>
        <w:keepNext w:val="0"/>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baseline"/>
        <w:outlineLvl w:val="9"/>
        <w:rPr>
          <w:rFonts w:hint="eastAsia" w:ascii="宋体" w:hAnsi="宋体" w:eastAsia="宋体" w:cs="宋体"/>
          <w:bCs w:val="0"/>
          <w:color w:val="auto"/>
          <w:w w:val="100"/>
          <w:kern w:val="2"/>
          <w:sz w:val="52"/>
          <w:szCs w:val="52"/>
        </w:rPr>
      </w:pPr>
      <w:r>
        <w:rPr>
          <w:rFonts w:hint="eastAsia" w:ascii="宋体" w:hAnsi="宋体" w:cs="宋体"/>
          <w:color w:val="auto"/>
          <w:sz w:val="52"/>
          <w:szCs w:val="52"/>
          <w:u w:val="none"/>
          <w:lang w:val="en-US" w:eastAsia="zh-CN"/>
        </w:rPr>
        <w:t>同兴佳苑前期物业管理服务</w:t>
      </w:r>
    </w:p>
    <w:p w14:paraId="65BD049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color w:val="auto"/>
          <w:sz w:val="90"/>
          <w:szCs w:val="90"/>
        </w:rPr>
      </w:pPr>
    </w:p>
    <w:p w14:paraId="049A22B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color w:val="auto"/>
          <w:sz w:val="90"/>
          <w:szCs w:val="90"/>
        </w:rPr>
      </w:pPr>
    </w:p>
    <w:p w14:paraId="46976FD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color w:val="auto"/>
          <w:sz w:val="100"/>
        </w:rPr>
      </w:pPr>
    </w:p>
    <w:p w14:paraId="3D8CDA7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color w:val="auto"/>
          <w:sz w:val="100"/>
        </w:rPr>
      </w:pPr>
      <w:r>
        <w:rPr>
          <w:rFonts w:hint="eastAsia" w:ascii="宋体" w:hAnsi="宋体" w:eastAsia="宋体" w:cs="宋体"/>
          <w:b/>
          <w:color w:val="auto"/>
          <w:sz w:val="100"/>
        </w:rPr>
        <w:t>招 标</w:t>
      </w:r>
      <w:r>
        <w:rPr>
          <w:rFonts w:hint="eastAsia" w:ascii="宋体" w:hAnsi="宋体" w:eastAsia="宋体" w:cs="宋体"/>
          <w:b/>
          <w:bCs w:val="0"/>
          <w:color w:val="auto"/>
          <w:sz w:val="100"/>
        </w:rPr>
        <w:t xml:space="preserve"> 文</w:t>
      </w:r>
      <w:r>
        <w:rPr>
          <w:rFonts w:hint="eastAsia" w:ascii="宋体" w:hAnsi="宋体" w:eastAsia="宋体" w:cs="宋体"/>
          <w:b/>
          <w:color w:val="auto"/>
          <w:sz w:val="100"/>
        </w:rPr>
        <w:t xml:space="preserve"> 件</w:t>
      </w:r>
    </w:p>
    <w:p w14:paraId="3513FCF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color w:val="auto"/>
          <w:sz w:val="32"/>
          <w:szCs w:val="32"/>
        </w:rPr>
      </w:pPr>
    </w:p>
    <w:p w14:paraId="754A1447">
      <w:pPr>
        <w:keepNext w:val="0"/>
        <w:keepLines w:val="0"/>
        <w:pageBreakBefore w:val="0"/>
        <w:widowControl/>
        <w:kinsoku/>
        <w:wordWrap/>
        <w:overflowPunct/>
        <w:topLinePunct w:val="0"/>
        <w:autoSpaceDE/>
        <w:autoSpaceDN/>
        <w:bidi w:val="0"/>
        <w:adjustRightInd/>
        <w:snapToGrid/>
        <w:spacing w:line="360" w:lineRule="auto"/>
        <w:ind w:firstLine="1890" w:firstLineChars="900"/>
        <w:jc w:val="left"/>
        <w:rPr>
          <w:rFonts w:hint="eastAsia" w:ascii="宋体" w:hAnsi="宋体" w:eastAsia="宋体" w:cs="宋体"/>
          <w:color w:val="auto"/>
        </w:rPr>
      </w:pPr>
    </w:p>
    <w:p w14:paraId="04B1837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color w:val="auto"/>
          <w:sz w:val="32"/>
          <w:szCs w:val="32"/>
        </w:rPr>
      </w:pPr>
    </w:p>
    <w:p w14:paraId="56F82463">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36"/>
        </w:rPr>
      </w:pPr>
    </w:p>
    <w:p w14:paraId="76A4E0C8">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36"/>
        </w:rPr>
      </w:pPr>
    </w:p>
    <w:p w14:paraId="0EE00098">
      <w:pPr>
        <w:keepNext w:val="0"/>
        <w:keepLines w:val="0"/>
        <w:pageBreakBefore w:val="0"/>
        <w:kinsoku/>
        <w:wordWrap/>
        <w:overflowPunct/>
        <w:topLinePunct w:val="0"/>
        <w:autoSpaceDE/>
        <w:autoSpaceDN/>
        <w:bidi w:val="0"/>
        <w:adjustRightInd/>
        <w:snapToGrid/>
        <w:spacing w:line="360" w:lineRule="auto"/>
        <w:ind w:firstLine="1446" w:firstLineChars="450"/>
        <w:rPr>
          <w:rFonts w:hint="eastAsia" w:ascii="宋体" w:hAnsi="宋体" w:eastAsia="宋体" w:cs="宋体"/>
          <w:b/>
          <w:color w:val="auto"/>
          <w:sz w:val="32"/>
          <w:szCs w:val="32"/>
        </w:rPr>
      </w:pPr>
    </w:p>
    <w:p w14:paraId="63EBD0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招   标   人：</w:t>
      </w:r>
      <w:r>
        <w:rPr>
          <w:rFonts w:hint="eastAsia" w:ascii="宋体" w:hAnsi="宋体" w:eastAsia="宋体" w:cs="宋体"/>
          <w:b/>
          <w:color w:val="auto"/>
          <w:sz w:val="32"/>
          <w:szCs w:val="32"/>
          <w:lang w:eastAsia="zh-CN"/>
        </w:rPr>
        <w:t>长沙市雨花城市建设投资集团有限公司</w:t>
      </w:r>
    </w:p>
    <w:p w14:paraId="2CBC7F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32"/>
          <w:szCs w:val="32"/>
        </w:rPr>
      </w:pPr>
      <w:r>
        <w:rPr>
          <w:rFonts w:hint="eastAsia" w:ascii="宋体" w:hAnsi="宋体" w:eastAsia="宋体" w:cs="宋体"/>
          <w:b/>
          <w:color w:val="auto"/>
          <w:sz w:val="32"/>
          <w:szCs w:val="32"/>
        </w:rPr>
        <w:t>二〇二</w:t>
      </w:r>
      <w:r>
        <w:rPr>
          <w:rFonts w:hint="eastAsia" w:ascii="宋体" w:hAnsi="宋体" w:cs="宋体"/>
          <w:b/>
          <w:color w:val="auto"/>
          <w:sz w:val="32"/>
          <w:szCs w:val="32"/>
          <w:lang w:val="en-US" w:eastAsia="zh-CN"/>
        </w:rPr>
        <w:t>六</w:t>
      </w:r>
      <w:r>
        <w:rPr>
          <w:rFonts w:hint="eastAsia" w:ascii="宋体" w:hAnsi="宋体" w:eastAsia="宋体" w:cs="宋体"/>
          <w:b/>
          <w:color w:val="auto"/>
          <w:sz w:val="32"/>
          <w:szCs w:val="32"/>
        </w:rPr>
        <w:t>年</w:t>
      </w:r>
      <w:r>
        <w:rPr>
          <w:rFonts w:hint="eastAsia" w:ascii="宋体" w:hAnsi="宋体" w:cs="宋体"/>
          <w:b/>
          <w:color w:val="auto"/>
          <w:sz w:val="32"/>
          <w:szCs w:val="32"/>
          <w:lang w:val="en-US" w:eastAsia="zh-CN"/>
        </w:rPr>
        <w:t>九</w:t>
      </w:r>
      <w:r>
        <w:rPr>
          <w:rFonts w:hint="eastAsia" w:ascii="宋体" w:hAnsi="宋体" w:eastAsia="宋体" w:cs="宋体"/>
          <w:b/>
          <w:color w:val="auto"/>
          <w:sz w:val="32"/>
          <w:szCs w:val="32"/>
        </w:rPr>
        <w:t>月</w:t>
      </w:r>
    </w:p>
    <w:p w14:paraId="73EC4343">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color w:val="auto"/>
          <w:sz w:val="44"/>
        </w:rPr>
      </w:pPr>
      <w:r>
        <w:rPr>
          <w:rFonts w:hint="eastAsia" w:ascii="宋体" w:hAnsi="宋体" w:eastAsia="宋体" w:cs="宋体"/>
          <w:color w:val="auto"/>
        </w:rPr>
        <w:br w:type="page"/>
      </w:r>
    </w:p>
    <w:p w14:paraId="485092BF">
      <w:pPr>
        <w:jc w:val="center"/>
        <w:rPr>
          <w:rFonts w:hint="eastAsia" w:ascii="宋体" w:hAnsi="宋体" w:eastAsia="宋体" w:cs="宋体"/>
          <w:b/>
          <w:bCs/>
          <w:color w:val="auto"/>
          <w:sz w:val="44"/>
        </w:rPr>
      </w:pPr>
      <w:r>
        <w:rPr>
          <w:rFonts w:hint="eastAsia" w:ascii="宋体" w:hAnsi="宋体" w:eastAsia="宋体" w:cs="宋体"/>
          <w:b/>
          <w:bCs/>
          <w:color w:val="auto"/>
          <w:sz w:val="44"/>
        </w:rPr>
        <w:t>目      录</w:t>
      </w:r>
    </w:p>
    <w:p w14:paraId="1010A40A">
      <w:pPr>
        <w:jc w:val="center"/>
        <w:rPr>
          <w:rFonts w:hint="eastAsia" w:ascii="宋体" w:hAnsi="宋体" w:eastAsia="宋体" w:cs="宋体"/>
          <w:color w:val="auto"/>
        </w:rPr>
      </w:pPr>
    </w:p>
    <w:p w14:paraId="32760CFE">
      <w:pPr>
        <w:pStyle w:val="24"/>
        <w:tabs>
          <w:tab w:val="right" w:leader="dot" w:pos="8306"/>
        </w:tabs>
      </w:pPr>
      <w:r>
        <w:rPr>
          <w:rFonts w:hint="eastAsia" w:ascii="宋体" w:hAnsi="宋体" w:eastAsia="宋体" w:cs="宋体"/>
          <w:b w:val="0"/>
          <w:bCs w:val="0"/>
          <w:color w:val="auto"/>
        </w:rPr>
        <w:fldChar w:fldCharType="begin"/>
      </w:r>
      <w:r>
        <w:rPr>
          <w:rFonts w:hint="eastAsia" w:ascii="宋体" w:hAnsi="宋体" w:eastAsia="宋体" w:cs="宋体"/>
          <w:b w:val="0"/>
          <w:bCs w:val="0"/>
          <w:color w:val="auto"/>
        </w:rPr>
        <w:instrText xml:space="preserve"> TOC \o "1-3" \h \z \u </w:instrText>
      </w:r>
      <w:r>
        <w:rPr>
          <w:rFonts w:hint="eastAsia" w:ascii="宋体" w:hAnsi="宋体" w:eastAsia="宋体" w:cs="宋体"/>
          <w:b w:val="0"/>
          <w:bCs w:val="0"/>
          <w:color w:val="auto"/>
        </w:rPr>
        <w:fldChar w:fldCharType="separate"/>
      </w: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_Toc18881 </w:instrText>
      </w:r>
      <w:r>
        <w:rPr>
          <w:rFonts w:hint="eastAsia" w:ascii="宋体" w:hAnsi="宋体" w:eastAsia="宋体" w:cs="宋体"/>
          <w:bCs/>
          <w:kern w:val="44"/>
          <w:szCs w:val="44"/>
        </w:rPr>
        <w:fldChar w:fldCharType="separate"/>
      </w:r>
      <w:r>
        <w:rPr>
          <w:rFonts w:hint="eastAsia" w:ascii="宋体" w:hAnsi="宋体" w:eastAsia="宋体" w:cs="宋体"/>
        </w:rPr>
        <w:t>第一章  招标公告</w:t>
      </w:r>
      <w:r>
        <w:tab/>
      </w:r>
      <w:r>
        <w:fldChar w:fldCharType="begin"/>
      </w:r>
      <w:r>
        <w:instrText xml:space="preserve"> PAGEREF _Toc18881 \h </w:instrText>
      </w:r>
      <w:r>
        <w:fldChar w:fldCharType="separate"/>
      </w:r>
      <w:r>
        <w:t>3</w:t>
      </w:r>
      <w:r>
        <w:fldChar w:fldCharType="end"/>
      </w:r>
      <w:r>
        <w:rPr>
          <w:rFonts w:hint="eastAsia" w:ascii="宋体" w:hAnsi="宋体" w:eastAsia="宋体" w:cs="宋体"/>
          <w:bCs/>
          <w:color w:val="auto"/>
          <w:kern w:val="44"/>
          <w:szCs w:val="44"/>
        </w:rPr>
        <w:fldChar w:fldCharType="end"/>
      </w:r>
    </w:p>
    <w:p w14:paraId="77C664F2">
      <w:pPr>
        <w:pStyle w:val="24"/>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_Toc6044 </w:instrText>
      </w:r>
      <w:r>
        <w:rPr>
          <w:rFonts w:hint="eastAsia" w:ascii="宋体" w:hAnsi="宋体" w:eastAsia="宋体" w:cs="宋体"/>
          <w:bCs/>
          <w:kern w:val="44"/>
          <w:szCs w:val="44"/>
        </w:rPr>
        <w:fldChar w:fldCharType="separate"/>
      </w:r>
      <w:r>
        <w:rPr>
          <w:rFonts w:hint="eastAsia" w:ascii="宋体" w:hAnsi="宋体" w:eastAsia="宋体" w:cs="宋体"/>
        </w:rPr>
        <w:t>第二章  投标人须知</w:t>
      </w:r>
      <w:r>
        <w:tab/>
      </w:r>
      <w:r>
        <w:fldChar w:fldCharType="begin"/>
      </w:r>
      <w:r>
        <w:instrText xml:space="preserve"> PAGEREF _Toc6044 \h </w:instrText>
      </w:r>
      <w:r>
        <w:fldChar w:fldCharType="separate"/>
      </w:r>
      <w:r>
        <w:t>6</w:t>
      </w:r>
      <w:r>
        <w:fldChar w:fldCharType="end"/>
      </w:r>
      <w:r>
        <w:rPr>
          <w:rFonts w:hint="eastAsia" w:ascii="宋体" w:hAnsi="宋体" w:eastAsia="宋体" w:cs="宋体"/>
          <w:bCs/>
          <w:color w:val="auto"/>
          <w:kern w:val="44"/>
          <w:szCs w:val="44"/>
        </w:rPr>
        <w:fldChar w:fldCharType="end"/>
      </w:r>
    </w:p>
    <w:p w14:paraId="626C2266">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_Toc26340 </w:instrText>
      </w:r>
      <w:r>
        <w:rPr>
          <w:rFonts w:hint="eastAsia" w:ascii="宋体" w:hAnsi="宋体" w:eastAsia="宋体" w:cs="宋体"/>
          <w:bCs/>
          <w:kern w:val="44"/>
          <w:szCs w:val="44"/>
        </w:rPr>
        <w:fldChar w:fldCharType="separate"/>
      </w:r>
      <w:r>
        <w:rPr>
          <w:rFonts w:hint="eastAsia" w:ascii="宋体" w:hAnsi="宋体" w:eastAsia="宋体" w:cs="宋体"/>
          <w:w w:val="100"/>
          <w:kern w:val="32"/>
        </w:rPr>
        <w:t>1总则</w:t>
      </w:r>
      <w:r>
        <w:tab/>
      </w:r>
      <w:r>
        <w:fldChar w:fldCharType="begin"/>
      </w:r>
      <w:r>
        <w:instrText xml:space="preserve"> PAGEREF _Toc26340 \h </w:instrText>
      </w:r>
      <w:r>
        <w:fldChar w:fldCharType="separate"/>
      </w:r>
      <w:r>
        <w:t>6</w:t>
      </w:r>
      <w:r>
        <w:fldChar w:fldCharType="end"/>
      </w:r>
      <w:r>
        <w:rPr>
          <w:rFonts w:hint="eastAsia" w:ascii="宋体" w:hAnsi="宋体" w:eastAsia="宋体" w:cs="宋体"/>
          <w:bCs/>
          <w:color w:val="auto"/>
          <w:kern w:val="44"/>
          <w:szCs w:val="44"/>
        </w:rPr>
        <w:fldChar w:fldCharType="end"/>
      </w:r>
    </w:p>
    <w:p w14:paraId="0020594C">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_Toc17268 </w:instrText>
      </w:r>
      <w:r>
        <w:rPr>
          <w:rFonts w:hint="eastAsia" w:ascii="宋体" w:hAnsi="宋体" w:eastAsia="宋体" w:cs="宋体"/>
          <w:bCs/>
          <w:kern w:val="44"/>
          <w:szCs w:val="44"/>
        </w:rPr>
        <w:fldChar w:fldCharType="separate"/>
      </w:r>
      <w:r>
        <w:rPr>
          <w:rFonts w:hint="eastAsia" w:ascii="宋体" w:hAnsi="宋体" w:eastAsia="宋体" w:cs="宋体"/>
          <w:w w:val="100"/>
          <w:kern w:val="32"/>
        </w:rPr>
        <w:t>2 招标文件</w:t>
      </w:r>
      <w:r>
        <w:tab/>
      </w:r>
      <w:r>
        <w:fldChar w:fldCharType="begin"/>
      </w:r>
      <w:r>
        <w:instrText xml:space="preserve"> PAGEREF _Toc17268 \h </w:instrText>
      </w:r>
      <w:r>
        <w:fldChar w:fldCharType="separate"/>
      </w:r>
      <w:r>
        <w:t>7</w:t>
      </w:r>
      <w:r>
        <w:fldChar w:fldCharType="end"/>
      </w:r>
      <w:r>
        <w:rPr>
          <w:rFonts w:hint="eastAsia" w:ascii="宋体" w:hAnsi="宋体" w:eastAsia="宋体" w:cs="宋体"/>
          <w:bCs/>
          <w:color w:val="auto"/>
          <w:kern w:val="44"/>
          <w:szCs w:val="44"/>
        </w:rPr>
        <w:fldChar w:fldCharType="end"/>
      </w:r>
    </w:p>
    <w:p w14:paraId="7390E322">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_Toc12224 </w:instrText>
      </w:r>
      <w:r>
        <w:rPr>
          <w:rFonts w:hint="eastAsia" w:ascii="宋体" w:hAnsi="宋体" w:eastAsia="宋体" w:cs="宋体"/>
          <w:bCs/>
          <w:kern w:val="44"/>
          <w:szCs w:val="44"/>
        </w:rPr>
        <w:fldChar w:fldCharType="separate"/>
      </w:r>
      <w:r>
        <w:rPr>
          <w:rFonts w:hint="eastAsia" w:ascii="宋体" w:hAnsi="宋体" w:eastAsia="宋体" w:cs="宋体"/>
          <w:w w:val="100"/>
          <w:kern w:val="32"/>
        </w:rPr>
        <w:t>3 投标文件</w:t>
      </w:r>
      <w:r>
        <w:tab/>
      </w:r>
      <w:r>
        <w:fldChar w:fldCharType="begin"/>
      </w:r>
      <w:r>
        <w:instrText xml:space="preserve"> PAGEREF _Toc12224 \h </w:instrText>
      </w:r>
      <w:r>
        <w:fldChar w:fldCharType="separate"/>
      </w:r>
      <w:r>
        <w:t>8</w:t>
      </w:r>
      <w:r>
        <w:fldChar w:fldCharType="end"/>
      </w:r>
      <w:r>
        <w:rPr>
          <w:rFonts w:hint="eastAsia" w:ascii="宋体" w:hAnsi="宋体" w:eastAsia="宋体" w:cs="宋体"/>
          <w:bCs/>
          <w:color w:val="auto"/>
          <w:kern w:val="44"/>
          <w:szCs w:val="44"/>
        </w:rPr>
        <w:fldChar w:fldCharType="end"/>
      </w:r>
    </w:p>
    <w:p w14:paraId="149D3B19">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_Toc343 </w:instrText>
      </w:r>
      <w:r>
        <w:rPr>
          <w:rFonts w:hint="eastAsia" w:ascii="宋体" w:hAnsi="宋体" w:eastAsia="宋体" w:cs="宋体"/>
          <w:bCs/>
          <w:kern w:val="44"/>
          <w:szCs w:val="44"/>
        </w:rPr>
        <w:fldChar w:fldCharType="separate"/>
      </w:r>
      <w:r>
        <w:rPr>
          <w:rFonts w:hint="eastAsia" w:ascii="宋体" w:hAnsi="宋体" w:eastAsia="宋体" w:cs="宋体"/>
          <w:w w:val="100"/>
          <w:kern w:val="32"/>
        </w:rPr>
        <w:t>4 投标</w:t>
      </w:r>
      <w:r>
        <w:tab/>
      </w:r>
      <w:r>
        <w:fldChar w:fldCharType="begin"/>
      </w:r>
      <w:r>
        <w:instrText xml:space="preserve"> PAGEREF _Toc343 \h </w:instrText>
      </w:r>
      <w:r>
        <w:fldChar w:fldCharType="separate"/>
      </w:r>
      <w:r>
        <w:t>10</w:t>
      </w:r>
      <w:r>
        <w:fldChar w:fldCharType="end"/>
      </w:r>
      <w:r>
        <w:rPr>
          <w:rFonts w:hint="eastAsia" w:ascii="宋体" w:hAnsi="宋体" w:eastAsia="宋体" w:cs="宋体"/>
          <w:bCs/>
          <w:color w:val="auto"/>
          <w:kern w:val="44"/>
          <w:szCs w:val="44"/>
        </w:rPr>
        <w:fldChar w:fldCharType="end"/>
      </w:r>
    </w:p>
    <w:p w14:paraId="2D95FAB7">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_Toc13263 </w:instrText>
      </w:r>
      <w:r>
        <w:rPr>
          <w:rFonts w:hint="eastAsia" w:ascii="宋体" w:hAnsi="宋体" w:eastAsia="宋体" w:cs="宋体"/>
          <w:bCs/>
          <w:kern w:val="44"/>
          <w:szCs w:val="44"/>
        </w:rPr>
        <w:fldChar w:fldCharType="separate"/>
      </w:r>
      <w:r>
        <w:rPr>
          <w:rFonts w:hint="eastAsia" w:ascii="宋体" w:hAnsi="宋体" w:eastAsia="宋体" w:cs="宋体"/>
          <w:w w:val="100"/>
          <w:kern w:val="32"/>
        </w:rPr>
        <w:t>5 开标及资格后审</w:t>
      </w:r>
      <w:r>
        <w:tab/>
      </w:r>
      <w:r>
        <w:fldChar w:fldCharType="begin"/>
      </w:r>
      <w:r>
        <w:instrText xml:space="preserve"> PAGEREF _Toc13263 \h </w:instrText>
      </w:r>
      <w:r>
        <w:fldChar w:fldCharType="separate"/>
      </w:r>
      <w:r>
        <w:t>11</w:t>
      </w:r>
      <w:r>
        <w:fldChar w:fldCharType="end"/>
      </w:r>
      <w:r>
        <w:rPr>
          <w:rFonts w:hint="eastAsia" w:ascii="宋体" w:hAnsi="宋体" w:eastAsia="宋体" w:cs="宋体"/>
          <w:bCs/>
          <w:color w:val="auto"/>
          <w:kern w:val="44"/>
          <w:szCs w:val="44"/>
        </w:rPr>
        <w:fldChar w:fldCharType="end"/>
      </w:r>
    </w:p>
    <w:p w14:paraId="2B27825D">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_Toc9883 </w:instrText>
      </w:r>
      <w:r>
        <w:rPr>
          <w:rFonts w:hint="eastAsia" w:ascii="宋体" w:hAnsi="宋体" w:eastAsia="宋体" w:cs="宋体"/>
          <w:bCs/>
          <w:kern w:val="44"/>
          <w:szCs w:val="44"/>
        </w:rPr>
        <w:fldChar w:fldCharType="separate"/>
      </w:r>
      <w:r>
        <w:rPr>
          <w:rFonts w:hint="eastAsia" w:ascii="宋体" w:hAnsi="宋体" w:eastAsia="宋体" w:cs="宋体"/>
          <w:w w:val="100"/>
          <w:kern w:val="32"/>
        </w:rPr>
        <w:t>6 评标</w:t>
      </w:r>
      <w:r>
        <w:tab/>
      </w:r>
      <w:r>
        <w:fldChar w:fldCharType="begin"/>
      </w:r>
      <w:r>
        <w:instrText xml:space="preserve"> PAGEREF _Toc9883 \h </w:instrText>
      </w:r>
      <w:r>
        <w:fldChar w:fldCharType="separate"/>
      </w:r>
      <w:r>
        <w:t>12</w:t>
      </w:r>
      <w:r>
        <w:fldChar w:fldCharType="end"/>
      </w:r>
      <w:r>
        <w:rPr>
          <w:rFonts w:hint="eastAsia" w:ascii="宋体" w:hAnsi="宋体" w:eastAsia="宋体" w:cs="宋体"/>
          <w:bCs/>
          <w:color w:val="auto"/>
          <w:kern w:val="44"/>
          <w:szCs w:val="44"/>
        </w:rPr>
        <w:fldChar w:fldCharType="end"/>
      </w:r>
    </w:p>
    <w:p w14:paraId="17FF5B3C">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_Toc28624 </w:instrText>
      </w:r>
      <w:r>
        <w:rPr>
          <w:rFonts w:hint="eastAsia" w:ascii="宋体" w:hAnsi="宋体" w:eastAsia="宋体" w:cs="宋体"/>
          <w:bCs/>
          <w:kern w:val="44"/>
          <w:szCs w:val="44"/>
        </w:rPr>
        <w:fldChar w:fldCharType="separate"/>
      </w:r>
      <w:r>
        <w:rPr>
          <w:rFonts w:hint="eastAsia" w:ascii="宋体" w:hAnsi="宋体" w:eastAsia="宋体" w:cs="宋体"/>
          <w:w w:val="100"/>
          <w:kern w:val="32"/>
        </w:rPr>
        <w:t>7 合同授予</w:t>
      </w:r>
      <w:r>
        <w:tab/>
      </w:r>
      <w:r>
        <w:fldChar w:fldCharType="begin"/>
      </w:r>
      <w:r>
        <w:instrText xml:space="preserve"> PAGEREF _Toc28624 \h </w:instrText>
      </w:r>
      <w:r>
        <w:fldChar w:fldCharType="separate"/>
      </w:r>
      <w:r>
        <w:t>13</w:t>
      </w:r>
      <w:r>
        <w:fldChar w:fldCharType="end"/>
      </w:r>
      <w:r>
        <w:rPr>
          <w:rFonts w:hint="eastAsia" w:ascii="宋体" w:hAnsi="宋体" w:eastAsia="宋体" w:cs="宋体"/>
          <w:bCs/>
          <w:color w:val="auto"/>
          <w:kern w:val="44"/>
          <w:szCs w:val="44"/>
        </w:rPr>
        <w:fldChar w:fldCharType="end"/>
      </w:r>
    </w:p>
    <w:p w14:paraId="787304AC">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_Toc11989 </w:instrText>
      </w:r>
      <w:r>
        <w:rPr>
          <w:rFonts w:hint="eastAsia" w:ascii="宋体" w:hAnsi="宋体" w:eastAsia="宋体" w:cs="宋体"/>
          <w:bCs/>
          <w:kern w:val="44"/>
          <w:szCs w:val="44"/>
        </w:rPr>
        <w:fldChar w:fldCharType="separate"/>
      </w:r>
      <w:r>
        <w:rPr>
          <w:rFonts w:hint="eastAsia" w:ascii="宋体" w:hAnsi="宋体" w:eastAsia="宋体" w:cs="宋体"/>
          <w:w w:val="100"/>
          <w:kern w:val="32"/>
        </w:rPr>
        <w:t>8重新招标和不再招标</w:t>
      </w:r>
      <w:r>
        <w:tab/>
      </w:r>
      <w:r>
        <w:fldChar w:fldCharType="begin"/>
      </w:r>
      <w:r>
        <w:instrText xml:space="preserve"> PAGEREF _Toc11989 \h </w:instrText>
      </w:r>
      <w:r>
        <w:fldChar w:fldCharType="separate"/>
      </w:r>
      <w:r>
        <w:t>14</w:t>
      </w:r>
      <w:r>
        <w:fldChar w:fldCharType="end"/>
      </w:r>
      <w:r>
        <w:rPr>
          <w:rFonts w:hint="eastAsia" w:ascii="宋体" w:hAnsi="宋体" w:eastAsia="宋体" w:cs="宋体"/>
          <w:bCs/>
          <w:color w:val="auto"/>
          <w:kern w:val="44"/>
          <w:szCs w:val="44"/>
        </w:rPr>
        <w:fldChar w:fldCharType="end"/>
      </w:r>
    </w:p>
    <w:p w14:paraId="1D67FF07">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_Toc25480 </w:instrText>
      </w:r>
      <w:r>
        <w:rPr>
          <w:rFonts w:hint="eastAsia" w:ascii="宋体" w:hAnsi="宋体" w:eastAsia="宋体" w:cs="宋体"/>
          <w:bCs/>
          <w:kern w:val="44"/>
          <w:szCs w:val="44"/>
        </w:rPr>
        <w:fldChar w:fldCharType="separate"/>
      </w:r>
      <w:r>
        <w:rPr>
          <w:rFonts w:hint="eastAsia" w:ascii="宋体" w:hAnsi="宋体" w:eastAsia="宋体" w:cs="宋体"/>
          <w:w w:val="100"/>
          <w:kern w:val="32"/>
        </w:rPr>
        <w:t>9纪律和监督</w:t>
      </w:r>
      <w:r>
        <w:tab/>
      </w:r>
      <w:r>
        <w:fldChar w:fldCharType="begin"/>
      </w:r>
      <w:r>
        <w:instrText xml:space="preserve"> PAGEREF _Toc25480 \h </w:instrText>
      </w:r>
      <w:r>
        <w:fldChar w:fldCharType="separate"/>
      </w:r>
      <w:r>
        <w:t>14</w:t>
      </w:r>
      <w:r>
        <w:fldChar w:fldCharType="end"/>
      </w:r>
      <w:r>
        <w:rPr>
          <w:rFonts w:hint="eastAsia" w:ascii="宋体" w:hAnsi="宋体" w:eastAsia="宋体" w:cs="宋体"/>
          <w:bCs/>
          <w:color w:val="auto"/>
          <w:kern w:val="44"/>
          <w:szCs w:val="44"/>
        </w:rPr>
        <w:fldChar w:fldCharType="end"/>
      </w:r>
    </w:p>
    <w:p w14:paraId="08AFA1E7">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_Toc27418 </w:instrText>
      </w:r>
      <w:r>
        <w:rPr>
          <w:rFonts w:hint="eastAsia" w:ascii="宋体" w:hAnsi="宋体" w:eastAsia="宋体" w:cs="宋体"/>
          <w:bCs/>
          <w:kern w:val="44"/>
          <w:szCs w:val="44"/>
        </w:rPr>
        <w:fldChar w:fldCharType="separate"/>
      </w:r>
      <w:r>
        <w:rPr>
          <w:rFonts w:hint="eastAsia" w:ascii="宋体" w:hAnsi="宋体" w:eastAsia="宋体" w:cs="宋体"/>
          <w:w w:val="100"/>
          <w:kern w:val="32"/>
        </w:rPr>
        <w:t>10需要补充的其他内容</w:t>
      </w:r>
      <w:r>
        <w:tab/>
      </w:r>
      <w:r>
        <w:fldChar w:fldCharType="begin"/>
      </w:r>
      <w:r>
        <w:instrText xml:space="preserve"> PAGEREF _Toc27418 \h </w:instrText>
      </w:r>
      <w:r>
        <w:fldChar w:fldCharType="separate"/>
      </w:r>
      <w:r>
        <w:t>15</w:t>
      </w:r>
      <w:r>
        <w:fldChar w:fldCharType="end"/>
      </w:r>
      <w:r>
        <w:rPr>
          <w:rFonts w:hint="eastAsia" w:ascii="宋体" w:hAnsi="宋体" w:eastAsia="宋体" w:cs="宋体"/>
          <w:bCs/>
          <w:color w:val="auto"/>
          <w:kern w:val="44"/>
          <w:szCs w:val="44"/>
        </w:rPr>
        <w:fldChar w:fldCharType="end"/>
      </w:r>
    </w:p>
    <w:p w14:paraId="2B3A9328">
      <w:pPr>
        <w:pStyle w:val="24"/>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_Toc12948 </w:instrText>
      </w:r>
      <w:r>
        <w:rPr>
          <w:rFonts w:hint="eastAsia" w:ascii="宋体" w:hAnsi="宋体" w:eastAsia="宋体" w:cs="宋体"/>
          <w:bCs/>
          <w:kern w:val="44"/>
          <w:szCs w:val="44"/>
        </w:rPr>
        <w:fldChar w:fldCharType="separate"/>
      </w:r>
      <w:r>
        <w:rPr>
          <w:rFonts w:hint="eastAsia" w:ascii="宋体" w:hAnsi="宋体" w:eastAsia="宋体" w:cs="宋体"/>
          <w:bCs/>
          <w:kern w:val="44"/>
          <w:szCs w:val="44"/>
          <w:lang w:val="en-US" w:eastAsia="zh-CN" w:bidi="ar-SA"/>
        </w:rPr>
        <w:t>第三章 项目相关情况说明及要求</w:t>
      </w:r>
      <w:r>
        <w:tab/>
      </w:r>
      <w:r>
        <w:fldChar w:fldCharType="begin"/>
      </w:r>
      <w:r>
        <w:instrText xml:space="preserve"> PAGEREF _Toc12948 \h </w:instrText>
      </w:r>
      <w:r>
        <w:fldChar w:fldCharType="separate"/>
      </w:r>
      <w:r>
        <w:t>16</w:t>
      </w:r>
      <w:r>
        <w:fldChar w:fldCharType="end"/>
      </w:r>
      <w:r>
        <w:rPr>
          <w:rFonts w:hint="eastAsia" w:ascii="宋体" w:hAnsi="宋体" w:eastAsia="宋体" w:cs="宋体"/>
          <w:bCs/>
          <w:color w:val="auto"/>
          <w:kern w:val="44"/>
          <w:szCs w:val="44"/>
        </w:rPr>
        <w:fldChar w:fldCharType="end"/>
      </w:r>
    </w:p>
    <w:p w14:paraId="03D32E08">
      <w:pPr>
        <w:pStyle w:val="24"/>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_Toc5122 </w:instrText>
      </w:r>
      <w:r>
        <w:rPr>
          <w:rFonts w:hint="eastAsia" w:ascii="宋体" w:hAnsi="宋体" w:eastAsia="宋体" w:cs="宋体"/>
          <w:bCs/>
          <w:kern w:val="44"/>
          <w:szCs w:val="44"/>
        </w:rPr>
        <w:fldChar w:fldCharType="separate"/>
      </w:r>
      <w:r>
        <w:rPr>
          <w:rFonts w:hint="eastAsia" w:ascii="宋体" w:hAnsi="宋体" w:eastAsia="宋体" w:cs="宋体"/>
        </w:rPr>
        <w:t xml:space="preserve">第四章 </w:t>
      </w:r>
      <w:r>
        <w:rPr>
          <w:rFonts w:hint="eastAsia" w:ascii="宋体" w:hAnsi="宋体" w:eastAsia="宋体" w:cs="宋体"/>
          <w:highlight w:val="none"/>
        </w:rPr>
        <w:t>合同格式</w:t>
      </w:r>
      <w:r>
        <w:tab/>
      </w:r>
      <w:r>
        <w:fldChar w:fldCharType="begin"/>
      </w:r>
      <w:r>
        <w:instrText xml:space="preserve"> PAGEREF _Toc5122 \h </w:instrText>
      </w:r>
      <w:r>
        <w:fldChar w:fldCharType="separate"/>
      </w:r>
      <w:r>
        <w:t>19</w:t>
      </w:r>
      <w:r>
        <w:fldChar w:fldCharType="end"/>
      </w:r>
      <w:r>
        <w:rPr>
          <w:rFonts w:hint="eastAsia" w:ascii="宋体" w:hAnsi="宋体" w:eastAsia="宋体" w:cs="宋体"/>
          <w:bCs/>
          <w:color w:val="auto"/>
          <w:kern w:val="44"/>
          <w:szCs w:val="44"/>
        </w:rPr>
        <w:fldChar w:fldCharType="end"/>
      </w:r>
    </w:p>
    <w:p w14:paraId="0D944645">
      <w:pPr>
        <w:pStyle w:val="24"/>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_Toc4313 </w:instrText>
      </w:r>
      <w:r>
        <w:rPr>
          <w:rFonts w:hint="eastAsia" w:ascii="宋体" w:hAnsi="宋体" w:eastAsia="宋体" w:cs="宋体"/>
          <w:bCs/>
          <w:kern w:val="44"/>
          <w:szCs w:val="44"/>
        </w:rPr>
        <w:fldChar w:fldCharType="separate"/>
      </w:r>
      <w:r>
        <w:rPr>
          <w:rFonts w:hint="eastAsia" w:ascii="宋体" w:hAnsi="宋体" w:eastAsia="宋体" w:cs="宋体"/>
        </w:rPr>
        <w:t>第五章  投标文件格式</w:t>
      </w:r>
      <w:r>
        <w:tab/>
      </w:r>
      <w:r>
        <w:fldChar w:fldCharType="begin"/>
      </w:r>
      <w:r>
        <w:instrText xml:space="preserve"> PAGEREF _Toc4313 \h </w:instrText>
      </w:r>
      <w:r>
        <w:fldChar w:fldCharType="separate"/>
      </w:r>
      <w:r>
        <w:t>43</w:t>
      </w:r>
      <w:r>
        <w:fldChar w:fldCharType="end"/>
      </w:r>
      <w:r>
        <w:rPr>
          <w:rFonts w:hint="eastAsia" w:ascii="宋体" w:hAnsi="宋体" w:eastAsia="宋体" w:cs="宋体"/>
          <w:bCs/>
          <w:color w:val="auto"/>
          <w:kern w:val="44"/>
          <w:szCs w:val="44"/>
        </w:rPr>
        <w:fldChar w:fldCharType="end"/>
      </w:r>
    </w:p>
    <w:p w14:paraId="7B5BEA13">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_Toc7394 </w:instrText>
      </w:r>
      <w:r>
        <w:rPr>
          <w:rFonts w:hint="eastAsia" w:ascii="宋体" w:hAnsi="宋体" w:eastAsia="宋体" w:cs="宋体"/>
          <w:bCs/>
          <w:kern w:val="44"/>
          <w:szCs w:val="44"/>
        </w:rPr>
        <w:fldChar w:fldCharType="separate"/>
      </w:r>
      <w:r>
        <w:rPr>
          <w:rFonts w:hint="eastAsia" w:ascii="宋体" w:hAnsi="宋体" w:eastAsia="宋体" w:cs="宋体"/>
          <w:w w:val="100"/>
          <w:kern w:val="32"/>
        </w:rPr>
        <w:t>一、投标函</w:t>
      </w:r>
      <w:r>
        <w:tab/>
      </w:r>
      <w:r>
        <w:fldChar w:fldCharType="begin"/>
      </w:r>
      <w:r>
        <w:instrText xml:space="preserve"> PAGEREF _Toc7394 \h </w:instrText>
      </w:r>
      <w:r>
        <w:fldChar w:fldCharType="separate"/>
      </w:r>
      <w:r>
        <w:t>45</w:t>
      </w:r>
      <w:r>
        <w:fldChar w:fldCharType="end"/>
      </w:r>
      <w:r>
        <w:rPr>
          <w:rFonts w:hint="eastAsia" w:ascii="宋体" w:hAnsi="宋体" w:eastAsia="宋体" w:cs="宋体"/>
          <w:bCs/>
          <w:color w:val="auto"/>
          <w:kern w:val="44"/>
          <w:szCs w:val="44"/>
        </w:rPr>
        <w:fldChar w:fldCharType="end"/>
      </w:r>
    </w:p>
    <w:p w14:paraId="00A0E739">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_Toc32589 </w:instrText>
      </w:r>
      <w:r>
        <w:rPr>
          <w:rFonts w:hint="eastAsia" w:ascii="宋体" w:hAnsi="宋体" w:eastAsia="宋体" w:cs="宋体"/>
          <w:bCs/>
          <w:kern w:val="44"/>
          <w:szCs w:val="44"/>
        </w:rPr>
        <w:fldChar w:fldCharType="separate"/>
      </w:r>
      <w:r>
        <w:rPr>
          <w:rFonts w:hint="eastAsia" w:ascii="宋体" w:hAnsi="宋体" w:eastAsia="宋体" w:cs="宋体"/>
          <w:w w:val="100"/>
          <w:kern w:val="32"/>
        </w:rPr>
        <w:t>二、法定代表人身份证明和授权委托书</w:t>
      </w:r>
      <w:r>
        <w:tab/>
      </w:r>
      <w:r>
        <w:fldChar w:fldCharType="begin"/>
      </w:r>
      <w:r>
        <w:instrText xml:space="preserve"> PAGEREF _Toc32589 \h </w:instrText>
      </w:r>
      <w:r>
        <w:fldChar w:fldCharType="separate"/>
      </w:r>
      <w:r>
        <w:t>46</w:t>
      </w:r>
      <w:r>
        <w:fldChar w:fldCharType="end"/>
      </w:r>
      <w:r>
        <w:rPr>
          <w:rFonts w:hint="eastAsia" w:ascii="宋体" w:hAnsi="宋体" w:eastAsia="宋体" w:cs="宋体"/>
          <w:bCs/>
          <w:color w:val="auto"/>
          <w:kern w:val="44"/>
          <w:szCs w:val="44"/>
        </w:rPr>
        <w:fldChar w:fldCharType="end"/>
      </w:r>
    </w:p>
    <w:p w14:paraId="0C1DD607">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_Toc23017 </w:instrText>
      </w:r>
      <w:r>
        <w:rPr>
          <w:rFonts w:hint="eastAsia" w:ascii="宋体" w:hAnsi="宋体" w:eastAsia="宋体" w:cs="宋体"/>
          <w:bCs/>
          <w:kern w:val="44"/>
          <w:szCs w:val="44"/>
        </w:rPr>
        <w:fldChar w:fldCharType="separate"/>
      </w:r>
      <w:r>
        <w:rPr>
          <w:rFonts w:hint="eastAsia" w:ascii="宋体" w:hAnsi="宋体" w:eastAsia="宋体" w:cs="宋体"/>
          <w:w w:val="100"/>
          <w:kern w:val="32"/>
        </w:rPr>
        <w:t>法定代表人授权委托书</w:t>
      </w:r>
      <w:r>
        <w:tab/>
      </w:r>
      <w:r>
        <w:fldChar w:fldCharType="begin"/>
      </w:r>
      <w:r>
        <w:instrText xml:space="preserve"> PAGEREF _Toc23017 \h </w:instrText>
      </w:r>
      <w:r>
        <w:fldChar w:fldCharType="separate"/>
      </w:r>
      <w:r>
        <w:t>47</w:t>
      </w:r>
      <w:r>
        <w:fldChar w:fldCharType="end"/>
      </w:r>
      <w:r>
        <w:rPr>
          <w:rFonts w:hint="eastAsia" w:ascii="宋体" w:hAnsi="宋体" w:eastAsia="宋体" w:cs="宋体"/>
          <w:bCs/>
          <w:color w:val="auto"/>
          <w:kern w:val="44"/>
          <w:szCs w:val="44"/>
        </w:rPr>
        <w:fldChar w:fldCharType="end"/>
      </w:r>
    </w:p>
    <w:p w14:paraId="4F4914E6">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_Toc17455 </w:instrText>
      </w:r>
      <w:r>
        <w:rPr>
          <w:rFonts w:hint="eastAsia" w:ascii="宋体" w:hAnsi="宋体" w:eastAsia="宋体" w:cs="宋体"/>
          <w:bCs/>
          <w:kern w:val="44"/>
          <w:szCs w:val="44"/>
        </w:rPr>
        <w:fldChar w:fldCharType="separate"/>
      </w:r>
      <w:r>
        <w:rPr>
          <w:rFonts w:hint="eastAsia" w:ascii="宋体" w:hAnsi="宋体" w:eastAsia="宋体" w:cs="宋体"/>
          <w:w w:val="100"/>
          <w:kern w:val="32"/>
        </w:rPr>
        <w:t>三、投标人基本情况说明</w:t>
      </w:r>
      <w:r>
        <w:tab/>
      </w:r>
      <w:r>
        <w:fldChar w:fldCharType="begin"/>
      </w:r>
      <w:r>
        <w:instrText xml:space="preserve"> PAGEREF _Toc17455 \h </w:instrText>
      </w:r>
      <w:r>
        <w:fldChar w:fldCharType="separate"/>
      </w:r>
      <w:r>
        <w:t>48</w:t>
      </w:r>
      <w:r>
        <w:fldChar w:fldCharType="end"/>
      </w:r>
      <w:r>
        <w:rPr>
          <w:rFonts w:hint="eastAsia" w:ascii="宋体" w:hAnsi="宋体" w:eastAsia="宋体" w:cs="宋体"/>
          <w:bCs/>
          <w:color w:val="auto"/>
          <w:kern w:val="44"/>
          <w:szCs w:val="44"/>
        </w:rPr>
        <w:fldChar w:fldCharType="end"/>
      </w:r>
    </w:p>
    <w:p w14:paraId="6C6AB533">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_Toc22522 </w:instrText>
      </w:r>
      <w:r>
        <w:rPr>
          <w:rFonts w:hint="eastAsia" w:ascii="宋体" w:hAnsi="宋体" w:eastAsia="宋体" w:cs="宋体"/>
          <w:bCs/>
          <w:kern w:val="44"/>
          <w:szCs w:val="44"/>
        </w:rPr>
        <w:fldChar w:fldCharType="separate"/>
      </w:r>
      <w:r>
        <w:rPr>
          <w:rFonts w:hint="eastAsia" w:ascii="宋体" w:hAnsi="宋体" w:eastAsia="宋体" w:cs="宋体"/>
          <w:w w:val="100"/>
          <w:kern w:val="32"/>
        </w:rPr>
        <w:t>四、投标报价表</w:t>
      </w:r>
      <w:r>
        <w:tab/>
      </w:r>
      <w:r>
        <w:fldChar w:fldCharType="begin"/>
      </w:r>
      <w:r>
        <w:instrText xml:space="preserve"> PAGEREF _Toc22522 \h </w:instrText>
      </w:r>
      <w:r>
        <w:fldChar w:fldCharType="separate"/>
      </w:r>
      <w:r>
        <w:t>49</w:t>
      </w:r>
      <w:r>
        <w:fldChar w:fldCharType="end"/>
      </w:r>
      <w:r>
        <w:rPr>
          <w:rFonts w:hint="eastAsia" w:ascii="宋体" w:hAnsi="宋体" w:eastAsia="宋体" w:cs="宋体"/>
          <w:bCs/>
          <w:color w:val="auto"/>
          <w:kern w:val="44"/>
          <w:szCs w:val="44"/>
        </w:rPr>
        <w:fldChar w:fldCharType="end"/>
      </w:r>
    </w:p>
    <w:p w14:paraId="0E6F86F8">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_Toc8688 </w:instrText>
      </w:r>
      <w:r>
        <w:rPr>
          <w:rFonts w:hint="eastAsia" w:ascii="宋体" w:hAnsi="宋体" w:eastAsia="宋体" w:cs="宋体"/>
          <w:bCs/>
          <w:kern w:val="44"/>
          <w:szCs w:val="44"/>
        </w:rPr>
        <w:fldChar w:fldCharType="separate"/>
      </w:r>
      <w:r>
        <w:rPr>
          <w:rFonts w:hint="eastAsia" w:ascii="宋体" w:hAnsi="宋体" w:eastAsia="宋体" w:cs="宋体"/>
          <w:bCs/>
          <w:w w:val="100"/>
          <w:kern w:val="32"/>
          <w:szCs w:val="32"/>
          <w:lang w:val="en-US" w:eastAsia="zh-CN" w:bidi="ar-SA"/>
        </w:rPr>
        <w:t>五、投标承诺书</w:t>
      </w:r>
      <w:r>
        <w:tab/>
      </w:r>
      <w:r>
        <w:fldChar w:fldCharType="begin"/>
      </w:r>
      <w:r>
        <w:instrText xml:space="preserve"> PAGEREF _Toc8688 \h </w:instrText>
      </w:r>
      <w:r>
        <w:fldChar w:fldCharType="separate"/>
      </w:r>
      <w:r>
        <w:t>51</w:t>
      </w:r>
      <w:r>
        <w:fldChar w:fldCharType="end"/>
      </w:r>
      <w:r>
        <w:rPr>
          <w:rFonts w:hint="eastAsia" w:ascii="宋体" w:hAnsi="宋体" w:eastAsia="宋体" w:cs="宋体"/>
          <w:bCs/>
          <w:color w:val="auto"/>
          <w:kern w:val="44"/>
          <w:szCs w:val="44"/>
        </w:rPr>
        <w:fldChar w:fldCharType="end"/>
      </w:r>
    </w:p>
    <w:p w14:paraId="7FE806E2">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_Toc31866 </w:instrText>
      </w:r>
      <w:r>
        <w:rPr>
          <w:rFonts w:hint="eastAsia" w:ascii="宋体" w:hAnsi="宋体" w:eastAsia="宋体" w:cs="宋体"/>
          <w:bCs/>
          <w:kern w:val="44"/>
          <w:szCs w:val="44"/>
        </w:rPr>
        <w:fldChar w:fldCharType="separate"/>
      </w:r>
      <w:r>
        <w:rPr>
          <w:rFonts w:hint="eastAsia" w:ascii="宋体" w:hAnsi="宋体" w:eastAsia="宋体" w:cs="宋体"/>
          <w:w w:val="100"/>
          <w:kern w:val="32"/>
        </w:rPr>
        <w:t>六、拟投入本项目的人员情况表</w:t>
      </w:r>
      <w:r>
        <w:tab/>
      </w:r>
      <w:r>
        <w:fldChar w:fldCharType="begin"/>
      </w:r>
      <w:r>
        <w:instrText xml:space="preserve"> PAGEREF _Toc31866 \h </w:instrText>
      </w:r>
      <w:r>
        <w:fldChar w:fldCharType="separate"/>
      </w:r>
      <w:r>
        <w:t>52</w:t>
      </w:r>
      <w:r>
        <w:fldChar w:fldCharType="end"/>
      </w:r>
      <w:r>
        <w:rPr>
          <w:rFonts w:hint="eastAsia" w:ascii="宋体" w:hAnsi="宋体" w:eastAsia="宋体" w:cs="宋体"/>
          <w:bCs/>
          <w:color w:val="auto"/>
          <w:kern w:val="44"/>
          <w:szCs w:val="44"/>
        </w:rPr>
        <w:fldChar w:fldCharType="end"/>
      </w:r>
    </w:p>
    <w:p w14:paraId="273DABB9">
      <w:pPr>
        <w:pStyle w:val="29"/>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_Toc10830 </w:instrText>
      </w:r>
      <w:r>
        <w:rPr>
          <w:rFonts w:hint="eastAsia" w:ascii="宋体" w:hAnsi="宋体" w:eastAsia="宋体" w:cs="宋体"/>
          <w:bCs/>
          <w:kern w:val="44"/>
          <w:szCs w:val="44"/>
        </w:rPr>
        <w:fldChar w:fldCharType="separate"/>
      </w:r>
      <w:r>
        <w:rPr>
          <w:rFonts w:hint="eastAsia" w:ascii="宋体" w:hAnsi="宋体" w:eastAsia="宋体" w:cs="宋体"/>
          <w:w w:val="100"/>
          <w:kern w:val="32"/>
          <w:highlight w:val="none"/>
          <w:lang w:val="en-US" w:eastAsia="zh-CN"/>
        </w:rPr>
        <w:t>七</w:t>
      </w:r>
      <w:r>
        <w:rPr>
          <w:rFonts w:hint="eastAsia" w:ascii="宋体" w:hAnsi="宋体" w:eastAsia="宋体" w:cs="宋体"/>
          <w:w w:val="100"/>
          <w:kern w:val="32"/>
          <w:highlight w:val="none"/>
        </w:rPr>
        <w:t>、投标人资格证明文件</w:t>
      </w:r>
      <w:r>
        <w:rPr>
          <w:rFonts w:hint="eastAsia" w:ascii="宋体" w:hAnsi="宋体" w:eastAsia="宋体" w:cs="宋体"/>
          <w:w w:val="100"/>
          <w:kern w:val="32"/>
          <w:highlight w:val="none"/>
          <w:lang w:eastAsia="zh-CN"/>
        </w:rPr>
        <w:t>（</w:t>
      </w:r>
      <w:r>
        <w:rPr>
          <w:rFonts w:hint="eastAsia" w:ascii="宋体" w:hAnsi="宋体" w:eastAsia="宋体" w:cs="宋体"/>
          <w:w w:val="100"/>
          <w:kern w:val="32"/>
          <w:highlight w:val="none"/>
          <w:lang w:val="en-US" w:eastAsia="zh-CN"/>
        </w:rPr>
        <w:t>资格审查部分</w:t>
      </w:r>
      <w:r>
        <w:rPr>
          <w:rFonts w:hint="eastAsia" w:ascii="宋体" w:hAnsi="宋体" w:eastAsia="宋体" w:cs="宋体"/>
          <w:w w:val="100"/>
          <w:kern w:val="32"/>
          <w:highlight w:val="none"/>
          <w:lang w:eastAsia="zh-CN"/>
        </w:rPr>
        <w:t>）</w:t>
      </w:r>
      <w:r>
        <w:tab/>
      </w:r>
      <w:r>
        <w:fldChar w:fldCharType="begin"/>
      </w:r>
      <w:r>
        <w:instrText xml:space="preserve"> PAGEREF _Toc10830 \h </w:instrText>
      </w:r>
      <w:r>
        <w:fldChar w:fldCharType="separate"/>
      </w:r>
      <w:r>
        <w:t>53</w:t>
      </w:r>
      <w:r>
        <w:fldChar w:fldCharType="end"/>
      </w:r>
      <w:r>
        <w:rPr>
          <w:rFonts w:hint="eastAsia" w:ascii="宋体" w:hAnsi="宋体" w:eastAsia="宋体" w:cs="宋体"/>
          <w:bCs/>
          <w:color w:val="auto"/>
          <w:kern w:val="44"/>
          <w:szCs w:val="44"/>
        </w:rPr>
        <w:fldChar w:fldCharType="end"/>
      </w:r>
    </w:p>
    <w:p w14:paraId="766EE62E">
      <w:pPr>
        <w:pStyle w:val="24"/>
        <w:tabs>
          <w:tab w:val="right" w:leader="dot" w:pos="8306"/>
        </w:tabs>
      </w:pPr>
      <w:r>
        <w:rPr>
          <w:rFonts w:hint="eastAsia" w:ascii="宋体" w:hAnsi="宋体" w:eastAsia="宋体" w:cs="宋体"/>
          <w:bCs/>
          <w:color w:val="auto"/>
          <w:kern w:val="44"/>
          <w:szCs w:val="44"/>
        </w:rPr>
        <w:fldChar w:fldCharType="begin"/>
      </w:r>
      <w:r>
        <w:rPr>
          <w:rFonts w:hint="eastAsia" w:ascii="宋体" w:hAnsi="宋体" w:eastAsia="宋体" w:cs="宋体"/>
          <w:bCs/>
          <w:kern w:val="44"/>
          <w:szCs w:val="44"/>
        </w:rPr>
        <w:instrText xml:space="preserve"> HYPERLINK \l _Toc29802 </w:instrText>
      </w:r>
      <w:r>
        <w:rPr>
          <w:rFonts w:hint="eastAsia" w:ascii="宋体" w:hAnsi="宋体" w:eastAsia="宋体" w:cs="宋体"/>
          <w:bCs/>
          <w:kern w:val="44"/>
          <w:szCs w:val="44"/>
        </w:rPr>
        <w:fldChar w:fldCharType="separate"/>
      </w:r>
      <w:r>
        <w:rPr>
          <w:rFonts w:hint="eastAsia" w:ascii="宋体" w:hAnsi="宋体" w:eastAsia="宋体" w:cs="宋体"/>
        </w:rPr>
        <w:t>第六章  评标办法</w:t>
      </w:r>
      <w:r>
        <w:tab/>
      </w:r>
      <w:r>
        <w:fldChar w:fldCharType="begin"/>
      </w:r>
      <w:r>
        <w:instrText xml:space="preserve"> PAGEREF _Toc29802 \h </w:instrText>
      </w:r>
      <w:r>
        <w:fldChar w:fldCharType="separate"/>
      </w:r>
      <w:r>
        <w:t>54</w:t>
      </w:r>
      <w:r>
        <w:fldChar w:fldCharType="end"/>
      </w:r>
      <w:r>
        <w:rPr>
          <w:rFonts w:hint="eastAsia" w:ascii="宋体" w:hAnsi="宋体" w:eastAsia="宋体" w:cs="宋体"/>
          <w:bCs/>
          <w:color w:val="auto"/>
          <w:kern w:val="44"/>
          <w:szCs w:val="44"/>
        </w:rPr>
        <w:fldChar w:fldCharType="end"/>
      </w:r>
    </w:p>
    <w:p w14:paraId="2D4CF75E">
      <w:pPr>
        <w:pStyle w:val="29"/>
        <w:tabs>
          <w:tab w:val="right" w:leader="dot" w:pos="9890"/>
        </w:tabs>
        <w:spacing w:line="800" w:lineRule="exact"/>
        <w:rPr>
          <w:rFonts w:hint="eastAsia" w:ascii="宋体" w:hAnsi="宋体" w:eastAsia="宋体" w:cs="宋体"/>
          <w:color w:val="auto"/>
        </w:rPr>
      </w:pPr>
      <w:r>
        <w:rPr>
          <w:rFonts w:hint="eastAsia" w:ascii="宋体" w:hAnsi="宋体" w:eastAsia="宋体" w:cs="宋体"/>
          <w:bCs/>
          <w:color w:val="auto"/>
          <w:kern w:val="44"/>
          <w:szCs w:val="44"/>
        </w:rPr>
        <w:fldChar w:fldCharType="end"/>
      </w:r>
    </w:p>
    <w:p w14:paraId="5069FEB0">
      <w:pPr>
        <w:pStyle w:val="2"/>
        <w:spacing w:line="360" w:lineRule="auto"/>
        <w:jc w:val="center"/>
        <w:rPr>
          <w:rFonts w:hint="eastAsia" w:ascii="宋体" w:hAnsi="宋体" w:eastAsia="宋体" w:cs="宋体"/>
          <w:color w:val="auto"/>
        </w:rPr>
      </w:pPr>
      <w:r>
        <w:rPr>
          <w:rFonts w:hint="eastAsia" w:ascii="宋体" w:hAnsi="宋体" w:eastAsia="宋体" w:cs="宋体"/>
          <w:color w:val="auto"/>
          <w:sz w:val="24"/>
        </w:rPr>
        <w:br w:type="page"/>
      </w:r>
      <w:bookmarkStart w:id="0" w:name="_Toc14076"/>
      <w:bookmarkStart w:id="1" w:name="_Toc18881"/>
      <w:bookmarkStart w:id="2" w:name="_Toc4621"/>
      <w:bookmarkStart w:id="3" w:name="_Toc13061"/>
      <w:bookmarkStart w:id="4" w:name="_Toc27011"/>
      <w:bookmarkStart w:id="5" w:name="_Toc15793"/>
      <w:r>
        <w:rPr>
          <w:rFonts w:hint="eastAsia" w:ascii="宋体" w:hAnsi="宋体" w:eastAsia="宋体" w:cs="宋体"/>
          <w:color w:val="auto"/>
        </w:rPr>
        <w:t>第一章  招标公告</w:t>
      </w:r>
      <w:bookmarkEnd w:id="0"/>
      <w:bookmarkEnd w:id="1"/>
      <w:bookmarkEnd w:id="2"/>
      <w:bookmarkEnd w:id="3"/>
      <w:bookmarkEnd w:id="4"/>
      <w:bookmarkEnd w:id="5"/>
    </w:p>
    <w:p w14:paraId="59F0A309">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8"/>
          <w:szCs w:val="28"/>
          <w:highlight w:val="none"/>
        </w:rPr>
      </w:pPr>
      <w:bookmarkStart w:id="6" w:name="_Toc282376891"/>
      <w:bookmarkStart w:id="7" w:name="_Toc251834966"/>
      <w:bookmarkStart w:id="8" w:name="_Toc282549808"/>
      <w:bookmarkStart w:id="9" w:name="_Toc268254544"/>
      <w:bookmarkStart w:id="10" w:name="_Toc287988764"/>
      <w:bookmarkStart w:id="11" w:name="_Toc255204929"/>
      <w:bookmarkStart w:id="12" w:name="_Toc184635053"/>
      <w:bookmarkStart w:id="13" w:name="_Toc287988932"/>
      <w:r>
        <w:rPr>
          <w:rFonts w:hint="eastAsia" w:ascii="宋体" w:hAnsi="宋体" w:eastAsia="宋体" w:cs="宋体"/>
          <w:b/>
          <w:color w:val="auto"/>
          <w:sz w:val="28"/>
          <w:szCs w:val="28"/>
          <w:highlight w:val="none"/>
        </w:rPr>
        <w:t>1、</w:t>
      </w:r>
      <w:r>
        <w:rPr>
          <w:rFonts w:hint="eastAsia" w:ascii="宋体" w:hAnsi="宋体" w:eastAsia="宋体" w:cs="宋体"/>
          <w:b/>
          <w:color w:val="auto"/>
          <w:sz w:val="28"/>
          <w:szCs w:val="28"/>
          <w:highlight w:val="none"/>
          <w:lang w:val="en-US" w:eastAsia="zh-CN"/>
        </w:rPr>
        <w:t>招标</w:t>
      </w:r>
      <w:r>
        <w:rPr>
          <w:rFonts w:hint="eastAsia" w:ascii="宋体" w:hAnsi="宋体" w:eastAsia="宋体" w:cs="宋体"/>
          <w:b/>
          <w:color w:val="auto"/>
          <w:sz w:val="28"/>
          <w:szCs w:val="28"/>
          <w:highlight w:val="none"/>
        </w:rPr>
        <w:t>条件</w:t>
      </w:r>
      <w:bookmarkEnd w:id="6"/>
      <w:bookmarkEnd w:id="7"/>
      <w:bookmarkEnd w:id="8"/>
      <w:bookmarkEnd w:id="9"/>
      <w:bookmarkEnd w:id="10"/>
      <w:bookmarkEnd w:id="11"/>
      <w:bookmarkEnd w:id="12"/>
      <w:bookmarkEnd w:id="13"/>
    </w:p>
    <w:p w14:paraId="3DB43523">
      <w:pPr>
        <w:keepNext w:val="0"/>
        <w:keepLines w:val="0"/>
        <w:pageBreakBefore w:val="0"/>
        <w:widowControl/>
        <w:kinsoku/>
        <w:wordWrap/>
        <w:overflowPunct/>
        <w:topLinePunct w:val="0"/>
        <w:autoSpaceDE/>
        <w:autoSpaceDN/>
        <w:bidi w:val="0"/>
        <w:spacing w:line="360" w:lineRule="auto"/>
        <w:ind w:firstLine="0" w:firstLineChars="0"/>
        <w:jc w:val="left"/>
        <w:textAlignment w:val="baseline"/>
        <w:outlineLvl w:val="9"/>
        <w:rPr>
          <w:rFonts w:hint="eastAsia" w:ascii="宋体" w:hAnsi="宋体" w:eastAsia="宋体" w:cs="宋体"/>
          <w:bCs/>
          <w:color w:val="auto"/>
          <w:sz w:val="24"/>
          <w:highlight w:val="none"/>
        </w:rPr>
      </w:pPr>
      <w:bookmarkStart w:id="14" w:name="_Toc282549809"/>
      <w:bookmarkStart w:id="15" w:name="_Toc255204930"/>
      <w:bookmarkStart w:id="16" w:name="_Toc282376892"/>
      <w:bookmarkStart w:id="17" w:name="_Toc287988765"/>
      <w:bookmarkStart w:id="18" w:name="_Toc287988933"/>
      <w:bookmarkStart w:id="19" w:name="_Toc251834967"/>
      <w:bookmarkStart w:id="20" w:name="_Toc268254545"/>
      <w:bookmarkStart w:id="21" w:name="_Toc184635054"/>
      <w:r>
        <w:rPr>
          <w:rFonts w:hint="eastAsia" w:ascii="宋体" w:hAnsi="宋体" w:eastAsia="宋体" w:cs="宋体"/>
          <w:bCs/>
          <w:color w:val="auto"/>
          <w:sz w:val="24"/>
          <w:szCs w:val="24"/>
          <w:highlight w:val="none"/>
          <w:u w:val="none"/>
          <w:lang w:val="en-US" w:eastAsia="zh-CN"/>
        </w:rPr>
        <w:t xml:space="preserve">   </w:t>
      </w:r>
      <w:r>
        <w:rPr>
          <w:rFonts w:hint="eastAsia" w:ascii="宋体" w:hAnsi="宋体" w:cs="宋体"/>
          <w:bCs/>
          <w:color w:val="auto"/>
          <w:sz w:val="24"/>
          <w:szCs w:val="24"/>
          <w:highlight w:val="none"/>
          <w:u w:val="none"/>
          <w:lang w:val="en-US" w:eastAsia="zh-CN"/>
        </w:rPr>
        <w:t>同兴佳苑前期物业管理服务</w:t>
      </w:r>
      <w:r>
        <w:rPr>
          <w:rFonts w:hint="eastAsia" w:ascii="宋体" w:hAnsi="宋体" w:eastAsia="宋体" w:cs="宋体"/>
          <w:bCs/>
          <w:color w:val="auto"/>
          <w:sz w:val="24"/>
          <w:highlight w:val="none"/>
        </w:rPr>
        <w:t>已具备</w:t>
      </w:r>
      <w:r>
        <w:rPr>
          <w:rFonts w:hint="eastAsia" w:ascii="宋体" w:hAnsi="宋体" w:eastAsia="宋体" w:cs="宋体"/>
          <w:bCs/>
          <w:color w:val="auto"/>
          <w:sz w:val="24"/>
          <w:highlight w:val="none"/>
          <w:lang w:val="en-US" w:eastAsia="zh-CN"/>
        </w:rPr>
        <w:t>招标</w:t>
      </w:r>
      <w:r>
        <w:rPr>
          <w:rFonts w:hint="eastAsia" w:ascii="宋体" w:hAnsi="宋体" w:eastAsia="宋体" w:cs="宋体"/>
          <w:bCs/>
          <w:color w:val="auto"/>
          <w:sz w:val="24"/>
          <w:highlight w:val="none"/>
        </w:rPr>
        <w:t>条件，现对该项目进行公开</w:t>
      </w:r>
      <w:r>
        <w:rPr>
          <w:rFonts w:hint="eastAsia" w:ascii="宋体" w:hAnsi="宋体" w:eastAsia="宋体" w:cs="宋体"/>
          <w:bCs/>
          <w:color w:val="auto"/>
          <w:sz w:val="24"/>
          <w:highlight w:val="none"/>
          <w:lang w:val="en-US" w:eastAsia="zh-CN"/>
        </w:rPr>
        <w:t>招标</w:t>
      </w:r>
      <w:r>
        <w:rPr>
          <w:rFonts w:hint="eastAsia" w:ascii="宋体" w:hAnsi="宋体" w:eastAsia="宋体" w:cs="宋体"/>
          <w:bCs/>
          <w:color w:val="auto"/>
          <w:sz w:val="24"/>
          <w:highlight w:val="none"/>
        </w:rPr>
        <w:t>，特邀请符合资格条件且有实力的</w:t>
      </w:r>
      <w:r>
        <w:rPr>
          <w:rFonts w:hint="eastAsia" w:ascii="宋体" w:hAnsi="宋体" w:eastAsia="宋体" w:cs="宋体"/>
          <w:bCs/>
          <w:color w:val="auto"/>
          <w:sz w:val="24"/>
          <w:highlight w:val="none"/>
          <w:lang w:eastAsia="zh-CN"/>
        </w:rPr>
        <w:t>投标人</w:t>
      </w:r>
      <w:r>
        <w:rPr>
          <w:rFonts w:hint="eastAsia" w:ascii="宋体" w:hAnsi="宋体" w:eastAsia="宋体" w:cs="宋体"/>
          <w:bCs/>
          <w:color w:val="auto"/>
          <w:sz w:val="24"/>
          <w:highlight w:val="none"/>
        </w:rPr>
        <w:t>参加</w:t>
      </w:r>
      <w:r>
        <w:rPr>
          <w:rFonts w:hint="eastAsia" w:ascii="宋体" w:hAnsi="宋体" w:eastAsia="宋体" w:cs="宋体"/>
          <w:bCs/>
          <w:color w:val="auto"/>
          <w:sz w:val="24"/>
          <w:highlight w:val="none"/>
          <w:lang w:val="en-US" w:eastAsia="zh-CN"/>
        </w:rPr>
        <w:t>投标</w:t>
      </w:r>
      <w:r>
        <w:rPr>
          <w:rFonts w:hint="eastAsia" w:ascii="宋体" w:hAnsi="宋体" w:eastAsia="宋体" w:cs="宋体"/>
          <w:bCs/>
          <w:color w:val="auto"/>
          <w:sz w:val="24"/>
          <w:highlight w:val="none"/>
        </w:rPr>
        <w:t>。</w:t>
      </w:r>
    </w:p>
    <w:p w14:paraId="76B0348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2、项目概况</w:t>
      </w:r>
      <w:bookmarkEnd w:id="14"/>
      <w:bookmarkEnd w:id="15"/>
      <w:bookmarkEnd w:id="16"/>
      <w:bookmarkEnd w:id="17"/>
      <w:bookmarkEnd w:id="18"/>
      <w:bookmarkEnd w:id="19"/>
      <w:bookmarkEnd w:id="20"/>
    </w:p>
    <w:p w14:paraId="5C1AE1E1">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color w:val="auto"/>
          <w:kern w:val="0"/>
          <w:sz w:val="24"/>
          <w:highlight w:val="none"/>
        </w:rPr>
      </w:pPr>
      <w:bookmarkStart w:id="22" w:name="_Toc184635055"/>
      <w:r>
        <w:rPr>
          <w:rFonts w:hint="eastAsia" w:ascii="宋体" w:hAnsi="宋体" w:eastAsia="宋体" w:cs="宋体"/>
          <w:color w:val="auto"/>
          <w:sz w:val="24"/>
          <w:highlight w:val="none"/>
        </w:rPr>
        <w:t>2.1</w:t>
      </w:r>
      <w:r>
        <w:rPr>
          <w:rFonts w:hint="eastAsia" w:ascii="宋体" w:hAnsi="宋体" w:eastAsia="宋体" w:cs="宋体"/>
          <w:bCs/>
          <w:color w:val="auto"/>
          <w:sz w:val="24"/>
          <w:highlight w:val="none"/>
        </w:rPr>
        <w:t>项目名称：</w:t>
      </w:r>
      <w:r>
        <w:rPr>
          <w:rFonts w:hint="eastAsia" w:ascii="宋体" w:hAnsi="宋体" w:cs="宋体"/>
          <w:bCs/>
          <w:color w:val="auto"/>
          <w:sz w:val="24"/>
          <w:szCs w:val="24"/>
          <w:highlight w:val="none"/>
          <w:u w:val="none"/>
          <w:lang w:val="en-US" w:eastAsia="zh-CN"/>
        </w:rPr>
        <w:t>同兴佳苑前期物业管理服务</w:t>
      </w:r>
    </w:p>
    <w:p w14:paraId="78624A2F">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bCs/>
          <w:color w:val="auto"/>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项目概况</w:t>
      </w:r>
      <w:r>
        <w:rPr>
          <w:rFonts w:hint="eastAsia" w:ascii="宋体" w:hAnsi="宋体" w:eastAsia="宋体" w:cs="宋体"/>
          <w:bCs/>
          <w:color w:val="auto"/>
          <w:sz w:val="24"/>
          <w:highlight w:val="none"/>
        </w:rPr>
        <w:t>：</w:t>
      </w:r>
      <w:bookmarkStart w:id="23" w:name="OLE_LINK39"/>
    </w:p>
    <w:p w14:paraId="2775E1E8">
      <w:pPr>
        <w:keepNext w:val="0"/>
        <w:keepLines w:val="0"/>
        <w:pageBreakBefore w:val="0"/>
        <w:widowControl w:val="0"/>
        <w:numPr>
          <w:ilvl w:val="-1"/>
          <w:numId w:val="0"/>
        </w:numPr>
        <w:tabs>
          <w:tab w:val="left" w:pos="496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highlight w:val="none"/>
          <w:lang w:val="en-US" w:eastAsia="zh-CN"/>
        </w:rPr>
        <w:t>2.2.1</w:t>
      </w:r>
      <w:bookmarkEnd w:id="23"/>
      <w:r>
        <w:rPr>
          <w:rFonts w:hint="eastAsia" w:ascii="宋体" w:hAnsi="宋体" w:eastAsia="宋体" w:cs="宋体"/>
          <w:bCs/>
          <w:color w:val="auto"/>
          <w:sz w:val="24"/>
          <w:highlight w:val="none"/>
          <w:lang w:val="en-US" w:eastAsia="zh-CN"/>
        </w:rPr>
        <w:t>雨花区同兴佳苑安置房项目位于同升街道新兴村，项目净用地面积33058.49㎡，总建筑面积111102.35㎡，容积率2.5，地上建筑面积86556.65㎡，地下建筑面积24576.65㎡。其中住宅75552.54㎡，商业4473.45㎡，项目可提供安置房806套，可安置920人。本项目包括10栋高层住宅、4栋商业，设计停车位698个（地面车位30个，地下车位668个）</w:t>
      </w:r>
      <w:r>
        <w:rPr>
          <w:rFonts w:hint="eastAsia" w:ascii="宋体" w:hAnsi="宋体" w:eastAsia="宋体" w:cs="宋体"/>
          <w:bCs/>
          <w:color w:val="auto"/>
          <w:sz w:val="24"/>
          <w:szCs w:val="24"/>
          <w:highlight w:val="none"/>
          <w:lang w:val="en-US" w:eastAsia="zh-CN"/>
        </w:rPr>
        <w:t>。</w:t>
      </w:r>
    </w:p>
    <w:p w14:paraId="53EFBB99">
      <w:pPr>
        <w:keepNext w:val="0"/>
        <w:keepLines w:val="0"/>
        <w:pageBreakBefore w:val="0"/>
        <w:widowControl w:val="0"/>
        <w:numPr>
          <w:ilvl w:val="-1"/>
          <w:numId w:val="0"/>
        </w:numPr>
        <w:tabs>
          <w:tab w:val="left" w:pos="4962"/>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2.2.2</w:t>
      </w:r>
      <w:r>
        <w:rPr>
          <w:rFonts w:hint="eastAsia" w:ascii="宋体" w:hAnsi="宋体" w:eastAsia="宋体" w:cs="宋体"/>
          <w:bCs/>
          <w:color w:val="auto"/>
          <w:sz w:val="24"/>
          <w:szCs w:val="24"/>
          <w:highlight w:val="none"/>
          <w:lang w:eastAsia="zh-CN"/>
        </w:rPr>
        <w:t>招标范围：</w:t>
      </w:r>
      <w:bookmarkStart w:id="24" w:name="OLE_LINK13"/>
      <w:bookmarkStart w:id="25" w:name="OLE_LINK40"/>
      <w:r>
        <w:rPr>
          <w:rFonts w:hint="eastAsia" w:ascii="宋体" w:hAnsi="宋体" w:cs="宋体"/>
          <w:bCs/>
          <w:color w:val="auto"/>
          <w:sz w:val="24"/>
          <w:szCs w:val="24"/>
          <w:highlight w:val="none"/>
          <w:lang w:val="en-US" w:eastAsia="zh-CN"/>
        </w:rPr>
        <w:t>同兴佳苑前期物业管理服务</w:t>
      </w:r>
      <w:r>
        <w:rPr>
          <w:rFonts w:hint="eastAsia" w:ascii="宋体" w:hAnsi="宋体" w:eastAsia="宋体" w:cs="宋体"/>
          <w:bCs/>
          <w:color w:val="auto"/>
          <w:sz w:val="24"/>
          <w:szCs w:val="24"/>
          <w:highlight w:val="none"/>
          <w:lang w:val="en-US" w:eastAsia="zh-CN"/>
        </w:rPr>
        <w:t>，具体范围以合同约定为准。</w:t>
      </w:r>
    </w:p>
    <w:p w14:paraId="332FFC47">
      <w:pPr>
        <w:keepNext w:val="0"/>
        <w:keepLines w:val="0"/>
        <w:pageBreakBefore w:val="0"/>
        <w:widowControl w:val="0"/>
        <w:numPr>
          <w:ilvl w:val="-1"/>
          <w:numId w:val="0"/>
        </w:numPr>
        <w:tabs>
          <w:tab w:val="left" w:pos="4962"/>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auto"/>
          <w:sz w:val="24"/>
          <w:highlight w:val="none"/>
          <w:shd w:val="clear"/>
          <w:lang w:val="en-US" w:eastAsia="zh-CN"/>
        </w:rPr>
      </w:pPr>
      <w:r>
        <w:rPr>
          <w:rFonts w:hint="eastAsia" w:ascii="宋体" w:hAnsi="宋体" w:eastAsia="宋体" w:cs="宋体"/>
          <w:bCs/>
          <w:color w:val="auto"/>
          <w:sz w:val="24"/>
          <w:highlight w:val="none"/>
          <w:shd w:val="clear"/>
          <w:lang w:val="en-US" w:eastAsia="zh-CN"/>
        </w:rPr>
        <w:t>2.3 项目预算：</w:t>
      </w:r>
      <w:bookmarkEnd w:id="24"/>
      <w:bookmarkEnd w:id="25"/>
    </w:p>
    <w:tbl>
      <w:tblPr>
        <w:tblStyle w:val="39"/>
        <w:tblpPr w:leftFromText="180" w:rightFromText="180" w:vertAnchor="text" w:horzAnchor="page" w:tblpX="1762" w:tblpY="222"/>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1766"/>
        <w:gridCol w:w="1883"/>
        <w:gridCol w:w="1662"/>
        <w:gridCol w:w="1955"/>
      </w:tblGrid>
      <w:tr w14:paraId="3F5C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35" w:type="pct"/>
            <w:vAlign w:val="center"/>
          </w:tcPr>
          <w:p w14:paraId="3FD470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rPr>
            </w:pPr>
          </w:p>
        </w:tc>
        <w:tc>
          <w:tcPr>
            <w:tcW w:w="1036" w:type="pct"/>
            <w:vAlign w:val="center"/>
          </w:tcPr>
          <w:p w14:paraId="5327E2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高层电梯住宅</w:t>
            </w:r>
          </w:p>
        </w:tc>
        <w:tc>
          <w:tcPr>
            <w:tcW w:w="1105" w:type="pct"/>
            <w:vAlign w:val="center"/>
          </w:tcPr>
          <w:p w14:paraId="494F4B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商业</w:t>
            </w:r>
          </w:p>
        </w:tc>
        <w:tc>
          <w:tcPr>
            <w:tcW w:w="975" w:type="pct"/>
            <w:vAlign w:val="center"/>
          </w:tcPr>
          <w:p w14:paraId="6BE1AF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装修垃圾</w:t>
            </w:r>
          </w:p>
          <w:p w14:paraId="11055A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清运费</w:t>
            </w:r>
          </w:p>
        </w:tc>
        <w:tc>
          <w:tcPr>
            <w:tcW w:w="1147" w:type="pct"/>
            <w:vAlign w:val="center"/>
          </w:tcPr>
          <w:p w14:paraId="1FAC05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合计</w:t>
            </w:r>
          </w:p>
        </w:tc>
      </w:tr>
      <w:tr w14:paraId="2F02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253" w:type="dxa"/>
            <w:vAlign w:val="center"/>
          </w:tcPr>
          <w:p w14:paraId="4CD5C2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rPr>
            </w:pPr>
            <w:r>
              <w:rPr>
                <w:rFonts w:hint="eastAsia" w:ascii="仿宋_GB2312" w:hAnsi="仿宋_GB2312" w:eastAsia="仿宋_GB2312" w:cs="仿宋_GB2312"/>
                <w:sz w:val="24"/>
                <w:szCs w:val="24"/>
                <w:highlight w:val="none"/>
              </w:rPr>
              <w:t>控制价</w:t>
            </w:r>
          </w:p>
        </w:tc>
        <w:tc>
          <w:tcPr>
            <w:tcW w:w="1766" w:type="dxa"/>
            <w:vAlign w:val="center"/>
          </w:tcPr>
          <w:p w14:paraId="72D703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rPr>
            </w:pPr>
            <w:r>
              <w:rPr>
                <w:rFonts w:hint="eastAsia" w:ascii="仿宋_GB2312" w:hAnsi="宋体" w:eastAsia="仿宋_GB2312" w:cs="仿宋_GB2312"/>
                <w:i w:val="0"/>
                <w:iCs w:val="0"/>
                <w:color w:val="000000"/>
                <w:kern w:val="0"/>
                <w:sz w:val="24"/>
                <w:szCs w:val="24"/>
                <w:u w:val="none"/>
                <w:lang w:val="en-US" w:eastAsia="zh-CN" w:bidi="ar"/>
              </w:rPr>
              <w:t>1.5元/㎡/月</w:t>
            </w:r>
          </w:p>
        </w:tc>
        <w:tc>
          <w:tcPr>
            <w:tcW w:w="1883" w:type="dxa"/>
            <w:vAlign w:val="center"/>
          </w:tcPr>
          <w:p w14:paraId="6B3D0D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rPr>
            </w:pPr>
            <w:r>
              <w:rPr>
                <w:rFonts w:hint="eastAsia" w:ascii="仿宋_GB2312" w:hAnsi="宋体" w:eastAsia="仿宋_GB2312" w:cs="仿宋_GB2312"/>
                <w:i w:val="0"/>
                <w:iCs w:val="0"/>
                <w:color w:val="000000"/>
                <w:kern w:val="0"/>
                <w:sz w:val="24"/>
                <w:szCs w:val="24"/>
                <w:u w:val="none"/>
                <w:lang w:val="en-US" w:eastAsia="zh-CN" w:bidi="ar"/>
              </w:rPr>
              <w:t>3元/㎡/月</w:t>
            </w:r>
          </w:p>
        </w:tc>
        <w:tc>
          <w:tcPr>
            <w:tcW w:w="1662" w:type="dxa"/>
            <w:vAlign w:val="center"/>
          </w:tcPr>
          <w:p w14:paraId="04FD60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2元/㎡</w:t>
            </w:r>
          </w:p>
        </w:tc>
        <w:tc>
          <w:tcPr>
            <w:tcW w:w="1955" w:type="dxa"/>
            <w:vAlign w:val="center"/>
          </w:tcPr>
          <w:p w14:paraId="4470AF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eastAsia="zh-CN"/>
              </w:rPr>
            </w:pPr>
            <w:r>
              <w:rPr>
                <w:rFonts w:hint="eastAsia" w:ascii="仿宋_GB2312" w:hAnsi="仿宋_GB2312" w:eastAsia="仿宋_GB2312" w:cs="仿宋_GB2312"/>
                <w:sz w:val="24"/>
                <w:szCs w:val="24"/>
                <w:highlight w:val="none"/>
                <w:lang w:val="en-US" w:eastAsia="zh-CN"/>
              </w:rPr>
              <w:t>\</w:t>
            </w:r>
          </w:p>
        </w:tc>
      </w:tr>
      <w:tr w14:paraId="2095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253" w:type="dxa"/>
            <w:vAlign w:val="center"/>
          </w:tcPr>
          <w:p w14:paraId="5A2778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eastAsia="zh-CN"/>
              </w:rPr>
            </w:pPr>
            <w:r>
              <w:rPr>
                <w:rFonts w:hint="eastAsia" w:ascii="仿宋_GB2312" w:hAnsi="仿宋_GB2312" w:eastAsia="仿宋_GB2312" w:cs="仿宋_GB2312"/>
                <w:sz w:val="24"/>
                <w:szCs w:val="24"/>
                <w:highlight w:val="none"/>
                <w:lang w:eastAsia="zh-CN"/>
              </w:rPr>
              <w:t>面积</w:t>
            </w:r>
          </w:p>
        </w:tc>
        <w:tc>
          <w:tcPr>
            <w:tcW w:w="1766" w:type="dxa"/>
            <w:vAlign w:val="center"/>
          </w:tcPr>
          <w:p w14:paraId="100884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75552.54</w:t>
            </w:r>
          </w:p>
        </w:tc>
        <w:tc>
          <w:tcPr>
            <w:tcW w:w="1883" w:type="dxa"/>
            <w:vAlign w:val="center"/>
          </w:tcPr>
          <w:p w14:paraId="75F2B6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4473.45</w:t>
            </w:r>
          </w:p>
        </w:tc>
        <w:tc>
          <w:tcPr>
            <w:tcW w:w="1662" w:type="dxa"/>
            <w:vAlign w:val="center"/>
          </w:tcPr>
          <w:p w14:paraId="1CED1C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111102.35</w:t>
            </w:r>
          </w:p>
        </w:tc>
        <w:tc>
          <w:tcPr>
            <w:tcW w:w="1955" w:type="dxa"/>
            <w:vAlign w:val="center"/>
          </w:tcPr>
          <w:p w14:paraId="674B12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w:t>
            </w:r>
          </w:p>
        </w:tc>
      </w:tr>
      <w:tr w14:paraId="778D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trPr>
        <w:tc>
          <w:tcPr>
            <w:tcW w:w="1253" w:type="dxa"/>
            <w:vAlign w:val="center"/>
          </w:tcPr>
          <w:p w14:paraId="6363D4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首年价格</w:t>
            </w:r>
          </w:p>
          <w:p w14:paraId="0B584B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eastAsia="zh-CN"/>
              </w:rPr>
            </w:pPr>
            <w:r>
              <w:rPr>
                <w:rFonts w:hint="eastAsia" w:ascii="仿宋_GB2312" w:hAnsi="仿宋_GB2312" w:eastAsia="仿宋_GB2312" w:cs="仿宋_GB2312"/>
                <w:sz w:val="24"/>
                <w:szCs w:val="24"/>
                <w:highlight w:val="none"/>
                <w:lang w:eastAsia="zh-CN"/>
              </w:rPr>
              <w:t>（元）</w:t>
            </w:r>
          </w:p>
        </w:tc>
        <w:tc>
          <w:tcPr>
            <w:tcW w:w="1766" w:type="dxa"/>
            <w:vAlign w:val="center"/>
          </w:tcPr>
          <w:p w14:paraId="219773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 xml:space="preserve">1359945.72 </w:t>
            </w:r>
          </w:p>
        </w:tc>
        <w:tc>
          <w:tcPr>
            <w:tcW w:w="1883" w:type="dxa"/>
            <w:vAlign w:val="center"/>
          </w:tcPr>
          <w:p w14:paraId="4C4BEB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 xml:space="preserve">161044.20 </w:t>
            </w:r>
          </w:p>
        </w:tc>
        <w:tc>
          <w:tcPr>
            <w:tcW w:w="1662" w:type="dxa"/>
            <w:vAlign w:val="center"/>
          </w:tcPr>
          <w:p w14:paraId="72797F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 xml:space="preserve">222204.70  </w:t>
            </w:r>
          </w:p>
        </w:tc>
        <w:tc>
          <w:tcPr>
            <w:tcW w:w="1955" w:type="dxa"/>
            <w:shd w:val="clear" w:color="auto" w:fill="auto"/>
            <w:vAlign w:val="center"/>
          </w:tcPr>
          <w:p w14:paraId="7CFB94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default" w:ascii="Arial" w:hAnsi="Arial" w:eastAsia="宋体" w:cs="Arial"/>
                <w:b/>
                <w:bCs/>
                <w:i w:val="0"/>
                <w:iCs w:val="0"/>
                <w:color w:val="000000"/>
                <w:kern w:val="0"/>
                <w:sz w:val="24"/>
                <w:szCs w:val="24"/>
                <w:u w:val="none"/>
                <w:lang w:val="en-US" w:eastAsia="zh-CN" w:bidi="ar"/>
              </w:rPr>
              <w:t>￥1,743,194.62</w:t>
            </w:r>
            <w:r>
              <w:rPr>
                <w:rFonts w:hint="eastAsia" w:ascii="Arial" w:hAnsi="Arial" w:eastAsia="宋体" w:cs="Arial"/>
                <w:b/>
                <w:bCs/>
                <w:i w:val="0"/>
                <w:iCs w:val="0"/>
                <w:color w:val="000000"/>
                <w:kern w:val="0"/>
                <w:sz w:val="24"/>
                <w:szCs w:val="24"/>
                <w:u w:val="none"/>
                <w:lang w:val="en-US" w:eastAsia="zh-CN" w:bidi="ar"/>
              </w:rPr>
              <w:t>（</w:t>
            </w:r>
            <w:r>
              <w:rPr>
                <w:rFonts w:hint="default" w:ascii="Arial" w:hAnsi="Arial" w:eastAsia="宋体" w:cs="Arial"/>
                <w:b/>
                <w:bCs/>
                <w:i w:val="0"/>
                <w:iCs w:val="0"/>
                <w:color w:val="000000"/>
                <w:kern w:val="0"/>
                <w:sz w:val="24"/>
                <w:szCs w:val="24"/>
                <w:u w:val="none"/>
                <w:lang w:val="en-US" w:eastAsia="zh-CN" w:bidi="ar"/>
              </w:rPr>
              <w:t>壹佰柒拾肆万叁仟壹佰玖拾肆元陆角贰分</w:t>
            </w:r>
            <w:r>
              <w:rPr>
                <w:rFonts w:hint="eastAsia" w:ascii="Arial" w:hAnsi="Arial" w:eastAsia="宋体" w:cs="Arial"/>
                <w:b/>
                <w:bCs/>
                <w:i w:val="0"/>
                <w:iCs w:val="0"/>
                <w:color w:val="000000"/>
                <w:kern w:val="0"/>
                <w:sz w:val="24"/>
                <w:szCs w:val="24"/>
                <w:u w:val="none"/>
                <w:lang w:val="en-US" w:eastAsia="zh-CN" w:bidi="ar"/>
              </w:rPr>
              <w:t>）</w:t>
            </w:r>
          </w:p>
        </w:tc>
      </w:tr>
    </w:tbl>
    <w:p w14:paraId="1F6B6D51">
      <w:pPr>
        <w:keepNext w:val="0"/>
        <w:keepLines w:val="0"/>
        <w:pageBreakBefore w:val="0"/>
        <w:widowControl/>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Cs/>
          <w:color w:val="auto"/>
          <w:sz w:val="24"/>
          <w:highlight w:val="none"/>
          <w:lang w:val="en-US" w:eastAsia="zh-CN"/>
        </w:rPr>
      </w:pPr>
      <w:r>
        <w:rPr>
          <w:rFonts w:hint="eastAsia" w:ascii="宋体" w:hAnsi="宋体" w:eastAsia="宋体" w:cs="宋体"/>
          <w:color w:val="auto"/>
          <w:sz w:val="24"/>
          <w:highlight w:val="none"/>
          <w:lang w:val="en-US" w:eastAsia="zh-CN"/>
        </w:rPr>
        <w:t xml:space="preserve"> 2</w:t>
      </w:r>
      <w:r>
        <w:rPr>
          <w:rFonts w:hint="eastAsia" w:ascii="宋体" w:hAnsi="宋体" w:eastAsia="宋体" w:cs="宋体"/>
          <w:bCs/>
          <w:color w:val="auto"/>
          <w:sz w:val="24"/>
          <w:highlight w:val="none"/>
          <w:lang w:val="en-US"/>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lang w:val="en-US"/>
        </w:rPr>
        <w:t>服务期：</w:t>
      </w:r>
      <w:r>
        <w:rPr>
          <w:rFonts w:hint="eastAsia" w:ascii="宋体" w:hAnsi="宋体" w:eastAsia="宋体" w:cs="宋体"/>
          <w:bCs/>
          <w:color w:val="auto"/>
          <w:sz w:val="24"/>
          <w:szCs w:val="24"/>
          <w:highlight w:val="none"/>
          <w:lang w:val="en-US" w:eastAsia="zh-CN"/>
        </w:rPr>
        <w:t>物业管理服务期限自合同签订之日起至小区成立业委会并选聘新物业公司且本小区“5平方米物业”按政策文件移交给所属街道或村集体经济组织之日止</w:t>
      </w:r>
      <w:r>
        <w:rPr>
          <w:rFonts w:hint="eastAsia" w:ascii="宋体" w:hAnsi="宋体" w:eastAsia="宋体" w:cs="宋体"/>
          <w:bCs/>
          <w:color w:val="auto"/>
          <w:sz w:val="24"/>
          <w:highlight w:val="none"/>
          <w:lang w:val="en-US"/>
        </w:rPr>
        <w:t>。</w:t>
      </w:r>
    </w:p>
    <w:p w14:paraId="77A55AC6">
      <w:pPr>
        <w:keepNext w:val="0"/>
        <w:keepLines w:val="0"/>
        <w:pageBreakBefore w:val="0"/>
        <w:widowControl w:val="0"/>
        <w:kinsoku/>
        <w:wordWrap/>
        <w:overflowPunct/>
        <w:topLinePunct w:val="0"/>
        <w:autoSpaceDE/>
        <w:autoSpaceDN/>
        <w:bidi w:val="0"/>
        <w:adjustRightInd/>
        <w:snapToGrid/>
        <w:spacing w:line="360" w:lineRule="auto"/>
        <w:ind w:firstLine="475" w:firstLineChars="198"/>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2.5质量要求：详见本项目第四章合同要求。</w:t>
      </w:r>
    </w:p>
    <w:bookmarkEnd w:id="22"/>
    <w:p w14:paraId="5D9523A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8"/>
          <w:szCs w:val="28"/>
          <w:highlight w:val="none"/>
          <w:lang w:val="en-US" w:eastAsia="zh-CN"/>
        </w:rPr>
      </w:pPr>
      <w:bookmarkStart w:id="26" w:name="_Toc255204931"/>
      <w:bookmarkStart w:id="27" w:name="_Toc287988766"/>
      <w:bookmarkStart w:id="28" w:name="_Toc282376893"/>
      <w:bookmarkStart w:id="29" w:name="_Toc282549810"/>
      <w:bookmarkStart w:id="30" w:name="_Toc287988934"/>
      <w:bookmarkStart w:id="31" w:name="_Toc268254546"/>
      <w:bookmarkStart w:id="32" w:name="_Toc251834968"/>
      <w:r>
        <w:rPr>
          <w:rFonts w:hint="eastAsia" w:ascii="宋体" w:hAnsi="宋体" w:eastAsia="宋体" w:cs="宋体"/>
          <w:b/>
          <w:color w:val="auto"/>
          <w:sz w:val="28"/>
          <w:szCs w:val="28"/>
          <w:highlight w:val="none"/>
          <w:lang w:val="en-US" w:eastAsia="zh-CN"/>
        </w:rPr>
        <w:t>3、</w:t>
      </w:r>
      <w:bookmarkEnd w:id="26"/>
      <w:bookmarkEnd w:id="27"/>
      <w:bookmarkEnd w:id="28"/>
      <w:bookmarkEnd w:id="29"/>
      <w:bookmarkEnd w:id="30"/>
      <w:bookmarkEnd w:id="31"/>
      <w:bookmarkEnd w:id="32"/>
      <w:r>
        <w:rPr>
          <w:rFonts w:hint="eastAsia" w:ascii="宋体" w:hAnsi="宋体" w:eastAsia="宋体" w:cs="宋体"/>
          <w:b/>
          <w:color w:val="auto"/>
          <w:sz w:val="28"/>
          <w:szCs w:val="28"/>
          <w:highlight w:val="none"/>
          <w:lang w:val="en-US" w:eastAsia="zh-CN"/>
        </w:rPr>
        <w:t>投标人资格要求</w:t>
      </w:r>
    </w:p>
    <w:bookmarkEnd w:id="21"/>
    <w:p w14:paraId="2E3CC5DB">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lang w:val="en-US" w:eastAsia="zh-CN"/>
        </w:rPr>
      </w:pPr>
      <w:bookmarkStart w:id="33" w:name="_Toc360096573"/>
      <w:bookmarkStart w:id="34" w:name="_Toc251834969"/>
      <w:bookmarkStart w:id="35" w:name="_Toc255204932"/>
      <w:bookmarkStart w:id="36" w:name="_Toc268254547"/>
      <w:bookmarkStart w:id="37" w:name="_Toc287988767"/>
      <w:bookmarkStart w:id="38" w:name="_Toc282549811"/>
      <w:bookmarkStart w:id="39" w:name="_Toc282376894"/>
      <w:bookmarkStart w:id="40" w:name="_Toc287988935"/>
      <w:r>
        <w:rPr>
          <w:rFonts w:hint="eastAsia" w:ascii="宋体" w:hAnsi="宋体" w:eastAsia="宋体" w:cs="宋体"/>
          <w:color w:val="auto"/>
          <w:sz w:val="24"/>
          <w:highlight w:val="none"/>
          <w:lang w:val="en-US" w:eastAsia="zh-CN"/>
        </w:rPr>
        <w:t>3.1</w:t>
      </w:r>
      <w:r>
        <w:rPr>
          <w:rFonts w:hint="eastAsia" w:ascii="宋体" w:hAnsi="宋体" w:eastAsia="宋体" w:cs="宋体"/>
          <w:color w:val="auto"/>
          <w:sz w:val="24"/>
          <w:highlight w:val="none"/>
        </w:rPr>
        <w:t>具有独立法人资格并依法取得企业营业执照，营业执照处于有效期内；</w:t>
      </w:r>
    </w:p>
    <w:p w14:paraId="13FB788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与</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存在利害关系可能影响</w:t>
      </w:r>
      <w:r>
        <w:rPr>
          <w:rFonts w:hint="eastAsia" w:ascii="宋体" w:hAnsi="宋体" w:eastAsia="宋体" w:cs="宋体"/>
          <w:color w:val="auto"/>
          <w:sz w:val="24"/>
          <w:highlight w:val="none"/>
          <w:lang w:val="en-US" w:eastAsia="zh-CN"/>
        </w:rPr>
        <w:t>招标</w:t>
      </w:r>
      <w:r>
        <w:rPr>
          <w:rFonts w:hint="eastAsia" w:ascii="宋体" w:hAnsi="宋体" w:eastAsia="宋体" w:cs="宋体"/>
          <w:color w:val="auto"/>
          <w:sz w:val="24"/>
          <w:highlight w:val="none"/>
        </w:rPr>
        <w:t>公正性的法人、其他组织或者个人，不得参加</w:t>
      </w:r>
      <w:r>
        <w:rPr>
          <w:rFonts w:hint="eastAsia" w:ascii="宋体" w:hAnsi="宋体" w:eastAsia="宋体" w:cs="宋体"/>
          <w:color w:val="auto"/>
          <w:sz w:val="24"/>
          <w:highlight w:val="none"/>
          <w:lang w:val="en-US" w:eastAsia="zh-CN"/>
        </w:rPr>
        <w:t>投标</w:t>
      </w:r>
      <w:r>
        <w:rPr>
          <w:rFonts w:hint="eastAsia" w:ascii="宋体" w:hAnsi="宋体" w:eastAsia="宋体" w:cs="宋体"/>
          <w:color w:val="auto"/>
          <w:sz w:val="24"/>
          <w:highlight w:val="none"/>
        </w:rPr>
        <w:t>。单位负责人为同一人或者存在控股、管理关系的不同单位，不得参加同一标段投标或者未划分标段的同一</w:t>
      </w:r>
      <w:r>
        <w:rPr>
          <w:rFonts w:hint="eastAsia" w:ascii="宋体" w:hAnsi="宋体" w:eastAsia="宋体" w:cs="宋体"/>
          <w:color w:val="auto"/>
          <w:sz w:val="24"/>
          <w:highlight w:val="none"/>
          <w:lang w:val="en-US" w:eastAsia="zh-CN"/>
        </w:rPr>
        <w:t>招标</w:t>
      </w:r>
      <w:r>
        <w:rPr>
          <w:rFonts w:hint="eastAsia" w:ascii="宋体" w:hAnsi="宋体" w:eastAsia="宋体" w:cs="宋体"/>
          <w:color w:val="auto"/>
          <w:sz w:val="24"/>
          <w:highlight w:val="none"/>
        </w:rPr>
        <w:t>项目</w:t>
      </w:r>
      <w:r>
        <w:rPr>
          <w:rFonts w:hint="eastAsia" w:ascii="宋体" w:hAnsi="宋体" w:eastAsia="宋体" w:cs="宋体"/>
          <w:color w:val="auto"/>
          <w:sz w:val="24"/>
          <w:highlight w:val="none"/>
          <w:lang w:val="en-US" w:eastAsia="zh-CN"/>
        </w:rPr>
        <w:t>投标</w:t>
      </w:r>
      <w:r>
        <w:rPr>
          <w:rFonts w:hint="eastAsia" w:ascii="宋体" w:hAnsi="宋体" w:eastAsia="宋体" w:cs="宋体"/>
          <w:color w:val="auto"/>
          <w:sz w:val="24"/>
          <w:highlight w:val="none"/>
          <w:lang w:eastAsia="zh-CN"/>
        </w:rPr>
        <w:t xml:space="preserve">。 </w:t>
      </w:r>
    </w:p>
    <w:p w14:paraId="21A3584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3.</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本次</w:t>
      </w:r>
      <w:r>
        <w:rPr>
          <w:rFonts w:hint="eastAsia" w:ascii="宋体" w:hAnsi="宋体" w:eastAsia="宋体" w:cs="宋体"/>
          <w:color w:val="auto"/>
          <w:sz w:val="24"/>
          <w:highlight w:val="none"/>
          <w:lang w:val="en-US" w:eastAsia="zh-CN"/>
        </w:rPr>
        <w:t>投标</w:t>
      </w:r>
      <w:r>
        <w:rPr>
          <w:rFonts w:hint="eastAsia" w:ascii="宋体" w:hAnsi="宋体" w:eastAsia="宋体" w:cs="宋体"/>
          <w:color w:val="auto"/>
          <w:sz w:val="24"/>
          <w:highlight w:val="none"/>
          <w:u w:val="single"/>
          <w:lang w:eastAsia="zh-CN"/>
        </w:rPr>
        <w:t xml:space="preserve"> 不接受 </w:t>
      </w:r>
      <w:r>
        <w:rPr>
          <w:rFonts w:hint="eastAsia" w:ascii="宋体" w:hAnsi="宋体" w:eastAsia="宋体" w:cs="宋体"/>
          <w:color w:val="auto"/>
          <w:sz w:val="24"/>
          <w:highlight w:val="none"/>
          <w:lang w:eastAsia="zh-CN"/>
        </w:rPr>
        <w:t>联合体形式；</w:t>
      </w:r>
    </w:p>
    <w:p w14:paraId="4DB8943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3.4类似业绩资格要求；</w:t>
      </w:r>
    </w:p>
    <w:p w14:paraId="3D85BFF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3.4.1投标人具有1个物业服务项目类似业绩；</w:t>
      </w:r>
    </w:p>
    <w:p w14:paraId="522BB06C">
      <w:pPr>
        <w:adjustRightInd w:val="0"/>
        <w:snapToGrid w:val="0"/>
        <w:spacing w:line="360" w:lineRule="auto"/>
        <w:ind w:firstLine="480" w:firstLineChars="200"/>
        <w:rPr>
          <w:rFonts w:hint="eastAsia" w:ascii="宋体" w:hAnsi="宋体" w:eastAsia="宋体" w:cs="宋体"/>
          <w:color w:val="auto"/>
          <w:lang w:val="en-US" w:eastAsia="zh-CN"/>
        </w:rPr>
      </w:pPr>
      <w:r>
        <w:rPr>
          <w:rFonts w:hint="eastAsia" w:ascii="宋体" w:hAnsi="宋体" w:eastAsia="宋体" w:cs="宋体"/>
          <w:color w:val="auto"/>
          <w:sz w:val="24"/>
          <w:highlight w:val="none"/>
          <w:lang w:val="en-US" w:eastAsia="zh-CN"/>
        </w:rPr>
        <w:t>3.4.2业绩资料要求：提供合同复印件、合同项目物业服务中心现场照片及客服固定电话；所提供合同须包含保安、保洁、工程维修、客户服务等其中至少两项服务，投标人提供的关键页面中未能显示提供包含服务内容的为无效业绩。</w:t>
      </w:r>
    </w:p>
    <w:p w14:paraId="62A6CE6C">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4、评审办法</w:t>
      </w:r>
      <w:bookmarkEnd w:id="33"/>
    </w:p>
    <w:p w14:paraId="1C20ADA7">
      <w:pPr>
        <w:keepNext w:val="0"/>
        <w:keepLines w:val="0"/>
        <w:pageBreakBefore w:val="0"/>
        <w:kinsoku/>
        <w:wordWrap/>
        <w:overflowPunct/>
        <w:topLinePunct w:val="0"/>
        <w:autoSpaceDE/>
        <w:autoSpaceDN/>
        <w:bidi w:val="0"/>
        <w:adjustRightInd w:val="0"/>
        <w:snapToGrid w:val="0"/>
        <w:spacing w:line="360" w:lineRule="auto"/>
        <w:ind w:firstLine="482" w:firstLineChars="201"/>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本项目评审办法采用“</w:t>
      </w:r>
      <w:r>
        <w:rPr>
          <w:rFonts w:hint="eastAsia" w:ascii="宋体" w:hAnsi="宋体" w:eastAsia="宋体" w:cs="宋体"/>
          <w:b/>
          <w:bCs/>
          <w:color w:val="auto"/>
          <w:sz w:val="24"/>
          <w:highlight w:val="none"/>
          <w:u w:val="single"/>
        </w:rPr>
        <w:t>综合评</w:t>
      </w:r>
      <w:r>
        <w:rPr>
          <w:rFonts w:hint="eastAsia" w:ascii="宋体" w:hAnsi="宋体" w:eastAsia="宋体" w:cs="宋体"/>
          <w:b/>
          <w:bCs/>
          <w:color w:val="auto"/>
          <w:sz w:val="24"/>
          <w:highlight w:val="none"/>
          <w:u w:val="single"/>
          <w:lang w:eastAsia="zh-CN"/>
        </w:rPr>
        <w:t>估</w:t>
      </w:r>
      <w:r>
        <w:rPr>
          <w:rFonts w:hint="eastAsia" w:ascii="宋体" w:hAnsi="宋体" w:eastAsia="宋体" w:cs="宋体"/>
          <w:b/>
          <w:bCs/>
          <w:color w:val="auto"/>
          <w:sz w:val="24"/>
          <w:highlight w:val="none"/>
          <w:u w:val="single"/>
        </w:rPr>
        <w:t>法</w:t>
      </w:r>
      <w:r>
        <w:rPr>
          <w:rFonts w:hint="eastAsia" w:ascii="宋体" w:hAnsi="宋体" w:eastAsia="宋体" w:cs="宋体"/>
          <w:color w:val="auto"/>
          <w:sz w:val="24"/>
          <w:highlight w:val="none"/>
        </w:rPr>
        <w:t>”，资格审查方式为</w:t>
      </w:r>
      <w:r>
        <w:rPr>
          <w:rFonts w:hint="eastAsia" w:ascii="宋体" w:hAnsi="宋体" w:eastAsia="宋体" w:cs="宋体"/>
          <w:b/>
          <w:bCs/>
          <w:color w:val="auto"/>
          <w:sz w:val="24"/>
          <w:highlight w:val="none"/>
          <w:u w:val="single"/>
        </w:rPr>
        <w:t>资格后审</w:t>
      </w:r>
      <w:r>
        <w:rPr>
          <w:rFonts w:hint="eastAsia" w:ascii="宋体" w:hAnsi="宋体" w:eastAsia="宋体" w:cs="宋体"/>
          <w:color w:val="auto"/>
          <w:sz w:val="24"/>
          <w:highlight w:val="none"/>
        </w:rPr>
        <w:t>。</w:t>
      </w:r>
      <w:bookmarkStart w:id="41" w:name="_Toc303864833"/>
      <w:bookmarkEnd w:id="41"/>
      <w:bookmarkStart w:id="42" w:name="_Toc300677965"/>
      <w:bookmarkEnd w:id="42"/>
      <w:bookmarkStart w:id="43" w:name="_Toc375561339"/>
      <w:bookmarkEnd w:id="43"/>
      <w:r>
        <w:rPr>
          <w:rFonts w:hint="eastAsia" w:ascii="宋体" w:hAnsi="宋体" w:eastAsia="宋体" w:cs="宋体"/>
          <w:color w:val="auto"/>
          <w:sz w:val="24"/>
          <w:highlight w:val="none"/>
        </w:rPr>
        <w:t xml:space="preserve"> </w:t>
      </w:r>
    </w:p>
    <w:p w14:paraId="52B9BA63">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
          <w:color w:val="auto"/>
          <w:sz w:val="28"/>
          <w:szCs w:val="28"/>
          <w:highlight w:val="none"/>
          <w:lang w:val="en-US" w:eastAsia="zh-CN"/>
        </w:rPr>
        <w:t>5、投标</w:t>
      </w:r>
      <w:r>
        <w:rPr>
          <w:rFonts w:hint="eastAsia" w:ascii="宋体" w:hAnsi="宋体" w:eastAsia="宋体" w:cs="宋体"/>
          <w:b/>
          <w:color w:val="auto"/>
          <w:sz w:val="28"/>
          <w:szCs w:val="28"/>
          <w:highlight w:val="none"/>
        </w:rPr>
        <w:t>保证金</w:t>
      </w:r>
    </w:p>
    <w:p w14:paraId="18C3870E">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5.1采用承诺的形式，格式详见招标文件；</w:t>
      </w:r>
    </w:p>
    <w:p w14:paraId="55219010">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rPr>
        <w:t>5.2未按要求承诺的，</w:t>
      </w:r>
      <w:r>
        <w:rPr>
          <w:rFonts w:hint="eastAsia" w:ascii="宋体" w:hAnsi="宋体" w:eastAsia="宋体" w:cs="宋体"/>
          <w:bCs/>
          <w:color w:val="auto"/>
          <w:sz w:val="24"/>
          <w:highlight w:val="none"/>
          <w:lang w:val="en-US" w:eastAsia="zh-CN"/>
        </w:rPr>
        <w:t>评标</w:t>
      </w:r>
      <w:r>
        <w:rPr>
          <w:rFonts w:hint="eastAsia" w:ascii="宋体" w:hAnsi="宋体" w:eastAsia="宋体" w:cs="宋体"/>
          <w:bCs/>
          <w:color w:val="auto"/>
          <w:sz w:val="24"/>
          <w:highlight w:val="none"/>
        </w:rPr>
        <w:t>委员会应否决其投标</w:t>
      </w:r>
      <w:r>
        <w:rPr>
          <w:rFonts w:hint="eastAsia" w:ascii="宋体" w:hAnsi="宋体" w:eastAsia="宋体" w:cs="宋体"/>
          <w:bCs/>
          <w:color w:val="auto"/>
          <w:sz w:val="24"/>
          <w:highlight w:val="none"/>
          <w:lang w:val="en-US" w:eastAsia="zh-CN"/>
        </w:rPr>
        <w:t>。</w:t>
      </w:r>
    </w:p>
    <w:p w14:paraId="59E14605">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6、</w:t>
      </w:r>
      <w:r>
        <w:rPr>
          <w:rFonts w:hint="eastAsia" w:ascii="宋体" w:hAnsi="宋体" w:eastAsia="宋体" w:cs="宋体"/>
          <w:b/>
          <w:color w:val="auto"/>
          <w:sz w:val="28"/>
          <w:szCs w:val="28"/>
          <w:highlight w:val="none"/>
          <w:lang w:val="en-US" w:eastAsia="zh-CN"/>
        </w:rPr>
        <w:t>招标</w:t>
      </w:r>
      <w:r>
        <w:rPr>
          <w:rFonts w:hint="eastAsia" w:ascii="宋体" w:hAnsi="宋体" w:eastAsia="宋体" w:cs="宋体"/>
          <w:b/>
          <w:color w:val="auto"/>
          <w:sz w:val="28"/>
          <w:szCs w:val="28"/>
          <w:highlight w:val="none"/>
        </w:rPr>
        <w:t>文件的获取</w:t>
      </w:r>
      <w:bookmarkEnd w:id="34"/>
      <w:bookmarkEnd w:id="35"/>
      <w:bookmarkEnd w:id="36"/>
      <w:bookmarkEnd w:id="37"/>
      <w:bookmarkEnd w:id="38"/>
      <w:bookmarkEnd w:id="39"/>
      <w:bookmarkEnd w:id="40"/>
    </w:p>
    <w:p w14:paraId="6F9A55AF">
      <w:pPr>
        <w:keepNext w:val="0"/>
        <w:keepLines w:val="0"/>
        <w:pageBreakBefore w:val="0"/>
        <w:widowControl/>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color w:val="auto"/>
          <w:kern w:val="0"/>
          <w:sz w:val="24"/>
          <w:highlight w:val="none"/>
        </w:rPr>
      </w:pPr>
      <w:bookmarkStart w:id="44" w:name="_Toc251834970"/>
      <w:bookmarkStart w:id="45" w:name="_Toc287988936"/>
      <w:bookmarkStart w:id="46" w:name="_Toc268254548"/>
      <w:bookmarkStart w:id="47" w:name="_Toc287988768"/>
      <w:bookmarkStart w:id="48" w:name="_Toc282376895"/>
      <w:bookmarkStart w:id="49" w:name="_Toc282549812"/>
      <w:bookmarkStart w:id="50" w:name="_Toc255204933"/>
      <w:r>
        <w:rPr>
          <w:rFonts w:hint="eastAsia" w:ascii="宋体" w:hAnsi="宋体" w:eastAsia="宋体" w:cs="宋体"/>
          <w:color w:val="auto"/>
          <w:kern w:val="0"/>
          <w:sz w:val="24"/>
          <w:highlight w:val="none"/>
        </w:rPr>
        <w:t>6.1 凡有意参加本次项目的投标人，请于</w:t>
      </w:r>
      <w:r>
        <w:rPr>
          <w:rFonts w:hint="eastAsia" w:ascii="宋体" w:hAnsi="宋体" w:eastAsia="宋体" w:cs="宋体"/>
          <w:color w:val="auto"/>
          <w:kern w:val="0"/>
          <w:sz w:val="24"/>
          <w:highlight w:val="none"/>
          <w:u w:val="single"/>
        </w:rPr>
        <w:t>202</w:t>
      </w:r>
      <w:r>
        <w:rPr>
          <w:rFonts w:hint="eastAsia" w:ascii="宋体" w:hAnsi="宋体" w:cs="宋体"/>
          <w:color w:val="auto"/>
          <w:kern w:val="0"/>
          <w:sz w:val="24"/>
          <w:highlight w:val="none"/>
          <w:u w:val="single"/>
          <w:lang w:val="en-US" w:eastAsia="zh-CN"/>
        </w:rPr>
        <w:t>6</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en-US" w:eastAsia="zh-CN"/>
        </w:rPr>
        <w:t>9</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en-US" w:eastAsia="zh-CN"/>
        </w:rPr>
        <w:t>7</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日起至</w:t>
      </w:r>
      <w:r>
        <w:rPr>
          <w:rFonts w:hint="eastAsia" w:ascii="宋体" w:hAnsi="宋体" w:eastAsia="宋体" w:cs="宋体"/>
          <w:color w:val="auto"/>
          <w:kern w:val="0"/>
          <w:sz w:val="24"/>
          <w:highlight w:val="none"/>
          <w:u w:val="single"/>
        </w:rPr>
        <w:t>202</w:t>
      </w:r>
      <w:r>
        <w:rPr>
          <w:rFonts w:hint="eastAsia" w:ascii="宋体" w:hAnsi="宋体" w:cs="宋体"/>
          <w:color w:val="auto"/>
          <w:kern w:val="0"/>
          <w:sz w:val="24"/>
          <w:highlight w:val="none"/>
          <w:u w:val="single"/>
          <w:lang w:val="en-US" w:eastAsia="zh-CN"/>
        </w:rPr>
        <w:t>6</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en-US" w:eastAsia="zh-CN"/>
        </w:rPr>
        <w:t>9</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en-US" w:eastAsia="zh-CN"/>
        </w:rPr>
        <w:t xml:space="preserve">14 </w:t>
      </w:r>
      <w:r>
        <w:rPr>
          <w:rFonts w:hint="eastAsia" w:ascii="宋体" w:hAnsi="宋体" w:eastAsia="宋体" w:cs="宋体"/>
          <w:color w:val="auto"/>
          <w:kern w:val="0"/>
          <w:sz w:val="24"/>
          <w:highlight w:val="none"/>
        </w:rPr>
        <w:t>日（节假日除外），每日上午</w:t>
      </w:r>
      <w:r>
        <w:rPr>
          <w:rFonts w:hint="eastAsia" w:ascii="宋体" w:hAnsi="宋体" w:eastAsia="宋体" w:cs="宋体"/>
          <w:color w:val="auto"/>
          <w:kern w:val="0"/>
          <w:sz w:val="24"/>
          <w:highlight w:val="none"/>
          <w:lang w:val="en-US" w:eastAsia="zh-CN"/>
        </w:rPr>
        <w:t>9</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rPr>
        <w:t>0至1</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rPr>
        <w:t>0、下午14：</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rPr>
        <w:t>0至17：00(</w:t>
      </w:r>
      <w:r>
        <w:rPr>
          <w:rFonts w:hint="eastAsia" w:ascii="宋体" w:hAnsi="宋体" w:eastAsia="宋体" w:cs="宋体"/>
          <w:i w:val="0"/>
          <w:iCs w:val="0"/>
          <w:caps w:val="0"/>
          <w:color w:val="auto"/>
          <w:spacing w:val="0"/>
          <w:kern w:val="2"/>
          <w:sz w:val="24"/>
          <w:szCs w:val="24"/>
          <w:lang w:val="en-US" w:eastAsia="zh-CN" w:bidi="ar-SA"/>
        </w:rPr>
        <w:t>北京时间</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法定代表人身份证明或授权委托书（附法定代表人身份证明）、营业执照副本复印件、个人身份证到</w:t>
      </w:r>
      <w:r>
        <w:rPr>
          <w:rFonts w:hint="eastAsia" w:ascii="宋体" w:hAnsi="宋体" w:eastAsia="宋体" w:cs="宋体"/>
          <w:color w:val="auto"/>
          <w:kern w:val="0"/>
          <w:sz w:val="24"/>
          <w:highlight w:val="none"/>
          <w:u w:val="single"/>
          <w:lang w:val="en-US" w:eastAsia="zh-CN"/>
        </w:rPr>
        <w:t xml:space="preserve"> 湖南扬航项目管理有限公司（</w:t>
      </w:r>
      <w:r>
        <w:rPr>
          <w:rFonts w:hint="eastAsia" w:ascii="宋体" w:hAnsi="宋体" w:cs="宋体"/>
          <w:color w:val="auto"/>
          <w:kern w:val="0"/>
          <w:sz w:val="24"/>
          <w:highlight w:val="none"/>
          <w:u w:val="single"/>
          <w:lang w:val="en-US" w:eastAsia="zh-CN"/>
        </w:rPr>
        <w:t>长沙市雨花区万家丽路157号唐湘电器城6栋9号</w:t>
      </w:r>
      <w:r>
        <w:rPr>
          <w:rFonts w:hint="eastAsia" w:ascii="宋体" w:hAnsi="宋体" w:eastAsia="宋体" w:cs="宋体"/>
          <w:color w:val="auto"/>
          <w:kern w:val="0"/>
          <w:sz w:val="24"/>
          <w:highlight w:val="none"/>
          <w:u w:val="single"/>
          <w:lang w:val="en-US" w:eastAsia="zh-CN"/>
        </w:rPr>
        <w:t>）</w:t>
      </w:r>
      <w:r>
        <w:rPr>
          <w:rFonts w:hint="eastAsia" w:ascii="宋体" w:hAnsi="宋体" w:eastAsia="宋体" w:cs="宋体"/>
          <w:color w:val="auto"/>
          <w:kern w:val="0"/>
          <w:sz w:val="24"/>
          <w:highlight w:val="none"/>
          <w:lang w:val="en-US" w:eastAsia="zh-CN"/>
        </w:rPr>
        <w:t>进行报名登记，视为参与本次项目投标。</w:t>
      </w:r>
    </w:p>
    <w:p w14:paraId="7F0EEEEB">
      <w:pPr>
        <w:keepNext w:val="0"/>
        <w:keepLines w:val="0"/>
        <w:pageBreakBefore w:val="0"/>
        <w:widowControl/>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6.2 </w:t>
      </w:r>
      <w:r>
        <w:rPr>
          <w:rFonts w:hint="eastAsia" w:ascii="宋体" w:hAnsi="宋体" w:eastAsia="宋体" w:cs="宋体"/>
          <w:color w:val="auto"/>
          <w:kern w:val="0"/>
          <w:sz w:val="24"/>
          <w:highlight w:val="none"/>
          <w:lang w:val="en-US" w:eastAsia="zh-CN"/>
        </w:rPr>
        <w:t>投标</w:t>
      </w:r>
      <w:r>
        <w:rPr>
          <w:rFonts w:hint="eastAsia" w:ascii="宋体" w:hAnsi="宋体" w:eastAsia="宋体" w:cs="宋体"/>
          <w:color w:val="auto"/>
          <w:kern w:val="0"/>
          <w:sz w:val="24"/>
          <w:highlight w:val="none"/>
        </w:rPr>
        <w:t>人若对</w:t>
      </w:r>
      <w:r>
        <w:rPr>
          <w:rFonts w:hint="eastAsia" w:ascii="宋体" w:hAnsi="宋体" w:eastAsia="宋体" w:cs="宋体"/>
          <w:color w:val="auto"/>
          <w:kern w:val="0"/>
          <w:sz w:val="24"/>
          <w:highlight w:val="none"/>
          <w:lang w:val="en-US" w:eastAsia="zh-CN"/>
        </w:rPr>
        <w:t>招标</w:t>
      </w:r>
      <w:r>
        <w:rPr>
          <w:rFonts w:hint="eastAsia" w:ascii="宋体" w:hAnsi="宋体" w:eastAsia="宋体" w:cs="宋体"/>
          <w:color w:val="auto"/>
          <w:kern w:val="0"/>
          <w:sz w:val="24"/>
          <w:highlight w:val="none"/>
          <w:lang w:eastAsia="zh-CN"/>
        </w:rPr>
        <w:t>文件</w:t>
      </w:r>
      <w:r>
        <w:rPr>
          <w:rFonts w:hint="eastAsia" w:ascii="宋体" w:hAnsi="宋体" w:eastAsia="宋体" w:cs="宋体"/>
          <w:color w:val="auto"/>
          <w:kern w:val="0"/>
          <w:sz w:val="24"/>
          <w:highlight w:val="none"/>
        </w:rPr>
        <w:t>有任何疑问，应于</w:t>
      </w:r>
      <w:r>
        <w:rPr>
          <w:rFonts w:hint="eastAsia" w:ascii="宋体" w:hAnsi="宋体" w:eastAsia="宋体" w:cs="宋体"/>
          <w:color w:val="auto"/>
          <w:kern w:val="0"/>
          <w:sz w:val="24"/>
          <w:highlight w:val="none"/>
          <w:u w:val="single"/>
        </w:rPr>
        <w:t>202</w:t>
      </w:r>
      <w:r>
        <w:rPr>
          <w:rFonts w:hint="eastAsia" w:ascii="宋体" w:hAnsi="宋体" w:cs="宋体"/>
          <w:color w:val="auto"/>
          <w:kern w:val="0"/>
          <w:sz w:val="24"/>
          <w:highlight w:val="none"/>
          <w:u w:val="single"/>
          <w:lang w:val="en-US" w:eastAsia="zh-CN"/>
        </w:rPr>
        <w:t>6</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en-US" w:eastAsia="zh-CN"/>
        </w:rPr>
        <w:t xml:space="preserve">9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lang w:val="en-US" w:eastAsia="zh-CN"/>
        </w:rPr>
        <w:t xml:space="preserve">14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日下午17：00 （北京时间）前（含）</w:t>
      </w:r>
      <w:r>
        <w:rPr>
          <w:rFonts w:hint="eastAsia" w:ascii="宋体" w:hAnsi="宋体" w:eastAsia="宋体" w:cs="宋体"/>
          <w:color w:val="auto"/>
          <w:kern w:val="0"/>
          <w:sz w:val="24"/>
          <w:highlight w:val="none"/>
        </w:rPr>
        <w:fldChar w:fldCharType="begin"/>
      </w:r>
      <w:r>
        <w:rPr>
          <w:rFonts w:hint="eastAsia" w:ascii="宋体" w:hAnsi="宋体" w:eastAsia="宋体" w:cs="宋体"/>
          <w:color w:val="auto"/>
          <w:kern w:val="0"/>
          <w:sz w:val="24"/>
          <w:highlight w:val="none"/>
        </w:rPr>
        <w:instrText xml:space="preserve"> HYPERLINK "mailto:以不署名的形式发送邮件至邮箱（3397633@qq.com" </w:instrText>
      </w:r>
      <w:r>
        <w:rPr>
          <w:rFonts w:hint="eastAsia" w:ascii="宋体" w:hAnsi="宋体" w:eastAsia="宋体" w:cs="宋体"/>
          <w:color w:val="auto"/>
          <w:kern w:val="0"/>
          <w:sz w:val="24"/>
          <w:highlight w:val="none"/>
        </w:rPr>
        <w:fldChar w:fldCharType="separate"/>
      </w:r>
      <w:r>
        <w:rPr>
          <w:rStyle w:val="44"/>
          <w:rFonts w:hint="eastAsia" w:ascii="宋体" w:hAnsi="宋体" w:eastAsia="宋体" w:cs="宋体"/>
          <w:color w:val="auto"/>
          <w:kern w:val="0"/>
          <w:sz w:val="24"/>
          <w:highlight w:val="none"/>
        </w:rPr>
        <w:t>以不署名的形式发送邮件至邮箱（</w:t>
      </w:r>
      <w:r>
        <w:rPr>
          <w:rFonts w:hint="eastAsia" w:ascii="宋体" w:hAnsi="宋体" w:eastAsia="宋体" w:cs="宋体"/>
          <w:color w:val="auto"/>
          <w:sz w:val="24"/>
          <w:highlight w:val="none"/>
          <w:u w:val="none"/>
          <w:lang w:val="en-US" w:eastAsia="zh-CN"/>
        </w:rPr>
        <w:t>1</w:t>
      </w:r>
      <w:r>
        <w:rPr>
          <w:rFonts w:hint="eastAsia" w:ascii="宋体" w:hAnsi="宋体" w:eastAsia="宋体" w:cs="宋体"/>
          <w:color w:val="auto"/>
          <w:kern w:val="0"/>
          <w:sz w:val="24"/>
          <w:highlight w:val="none"/>
        </w:rPr>
        <w:fldChar w:fldCharType="end"/>
      </w:r>
      <w:r>
        <w:rPr>
          <w:rFonts w:hint="eastAsia" w:ascii="宋体" w:hAnsi="宋体" w:eastAsia="宋体" w:cs="宋体"/>
          <w:color w:val="auto"/>
          <w:kern w:val="0"/>
          <w:sz w:val="24"/>
          <w:highlight w:val="none"/>
          <w:lang w:val="en-US" w:eastAsia="zh-CN"/>
        </w:rPr>
        <w:t>191083860@qq.com</w:t>
      </w:r>
      <w:r>
        <w:rPr>
          <w:rFonts w:hint="eastAsia" w:ascii="宋体" w:hAnsi="宋体" w:eastAsia="宋体" w:cs="宋体"/>
          <w:color w:val="auto"/>
          <w:kern w:val="0"/>
          <w:sz w:val="24"/>
          <w:highlight w:val="none"/>
        </w:rPr>
        <w:t>），疑问不得透露单位和个人信息，不得出现</w:t>
      </w:r>
      <w:r>
        <w:rPr>
          <w:rFonts w:hint="eastAsia" w:ascii="宋体" w:hAnsi="宋体" w:eastAsia="宋体" w:cs="宋体"/>
          <w:color w:val="auto"/>
          <w:kern w:val="0"/>
          <w:sz w:val="24"/>
          <w:highlight w:val="none"/>
          <w:lang w:val="en-US" w:eastAsia="zh-CN"/>
        </w:rPr>
        <w:t>投标</w:t>
      </w:r>
      <w:r>
        <w:rPr>
          <w:rFonts w:hint="eastAsia" w:ascii="宋体" w:hAnsi="宋体" w:eastAsia="宋体" w:cs="宋体"/>
          <w:color w:val="auto"/>
          <w:kern w:val="0"/>
          <w:sz w:val="24"/>
          <w:highlight w:val="none"/>
        </w:rPr>
        <w:t>单位名称；</w:t>
      </w:r>
    </w:p>
    <w:p w14:paraId="784CFB5C">
      <w:pPr>
        <w:keepNext w:val="0"/>
        <w:keepLines w:val="0"/>
        <w:pageBreakBefore w:val="0"/>
        <w:widowControl/>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6.3 项目答疑文件、</w:t>
      </w:r>
      <w:r>
        <w:rPr>
          <w:rFonts w:hint="eastAsia" w:ascii="宋体" w:hAnsi="宋体" w:eastAsia="宋体" w:cs="宋体"/>
          <w:color w:val="auto"/>
          <w:kern w:val="0"/>
          <w:sz w:val="24"/>
          <w:highlight w:val="none"/>
          <w:lang w:val="en-US" w:eastAsia="zh-CN"/>
        </w:rPr>
        <w:t>招标</w:t>
      </w:r>
      <w:r>
        <w:rPr>
          <w:rFonts w:hint="eastAsia" w:ascii="宋体" w:hAnsi="宋体" w:eastAsia="宋体" w:cs="宋体"/>
          <w:color w:val="auto"/>
          <w:kern w:val="0"/>
          <w:sz w:val="24"/>
          <w:highlight w:val="none"/>
          <w:lang w:eastAsia="zh-CN"/>
        </w:rPr>
        <w:t>文件</w:t>
      </w:r>
      <w:r>
        <w:rPr>
          <w:rFonts w:hint="eastAsia" w:ascii="宋体" w:hAnsi="宋体" w:eastAsia="宋体" w:cs="宋体"/>
          <w:color w:val="auto"/>
          <w:kern w:val="0"/>
          <w:sz w:val="24"/>
          <w:highlight w:val="none"/>
        </w:rPr>
        <w:t>修改以及澄清文件将在</w:t>
      </w:r>
      <w:r>
        <w:rPr>
          <w:rFonts w:hint="eastAsia" w:ascii="宋体" w:hAnsi="宋体" w:eastAsia="宋体" w:cs="宋体"/>
          <w:color w:val="auto"/>
          <w:kern w:val="0"/>
          <w:sz w:val="24"/>
          <w:highlight w:val="none"/>
          <w:lang w:eastAsia="zh-CN"/>
        </w:rPr>
        <w:t>中国招标投标公共服务平台（http：//www.cebpubservice.com/）、长沙市雨花城市建设投资集团公司官网（http：//www.csyhct.com/）</w:t>
      </w:r>
      <w:r>
        <w:rPr>
          <w:rFonts w:hint="eastAsia" w:ascii="宋体" w:hAnsi="宋体" w:eastAsia="宋体" w:cs="宋体"/>
          <w:color w:val="auto"/>
          <w:kern w:val="0"/>
          <w:sz w:val="24"/>
          <w:highlight w:val="none"/>
        </w:rPr>
        <w:t>上发布，敬请获得</w:t>
      </w:r>
      <w:r>
        <w:rPr>
          <w:rFonts w:hint="eastAsia" w:ascii="宋体" w:hAnsi="宋体" w:eastAsia="宋体" w:cs="宋体"/>
          <w:color w:val="auto"/>
          <w:kern w:val="0"/>
          <w:sz w:val="24"/>
          <w:highlight w:val="none"/>
          <w:lang w:val="en-US" w:eastAsia="zh-CN"/>
        </w:rPr>
        <w:t>招标</w:t>
      </w:r>
      <w:r>
        <w:rPr>
          <w:rFonts w:hint="eastAsia" w:ascii="宋体" w:hAnsi="宋体" w:eastAsia="宋体" w:cs="宋体"/>
          <w:color w:val="auto"/>
          <w:kern w:val="0"/>
          <w:sz w:val="24"/>
          <w:highlight w:val="none"/>
          <w:lang w:eastAsia="zh-CN"/>
        </w:rPr>
        <w:t>文件</w:t>
      </w:r>
      <w:r>
        <w:rPr>
          <w:rFonts w:hint="eastAsia" w:ascii="宋体" w:hAnsi="宋体" w:eastAsia="宋体" w:cs="宋体"/>
          <w:color w:val="auto"/>
          <w:kern w:val="0"/>
          <w:sz w:val="24"/>
          <w:highlight w:val="none"/>
        </w:rPr>
        <w:t>的所有</w:t>
      </w:r>
      <w:r>
        <w:rPr>
          <w:rFonts w:hint="eastAsia" w:ascii="宋体" w:hAnsi="宋体" w:eastAsia="宋体" w:cs="宋体"/>
          <w:color w:val="auto"/>
          <w:kern w:val="0"/>
          <w:sz w:val="24"/>
          <w:highlight w:val="none"/>
          <w:lang w:val="en-US" w:eastAsia="zh-CN"/>
        </w:rPr>
        <w:t>投标人</w:t>
      </w:r>
      <w:r>
        <w:rPr>
          <w:rFonts w:hint="eastAsia" w:ascii="宋体" w:hAnsi="宋体" w:eastAsia="宋体" w:cs="宋体"/>
          <w:color w:val="auto"/>
          <w:kern w:val="0"/>
          <w:sz w:val="24"/>
          <w:highlight w:val="none"/>
        </w:rPr>
        <w:t>关注，恕不另行通知，如有遗漏</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 xml:space="preserve">概不负责； </w:t>
      </w:r>
    </w:p>
    <w:p w14:paraId="241D62F1">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8"/>
          <w:szCs w:val="28"/>
          <w:highlight w:val="none"/>
        </w:rPr>
      </w:pPr>
      <w:bookmarkStart w:id="51" w:name="_Toc365406874"/>
      <w:r>
        <w:rPr>
          <w:rFonts w:hint="eastAsia" w:ascii="宋体" w:hAnsi="宋体" w:eastAsia="宋体" w:cs="宋体"/>
          <w:b/>
          <w:bCs/>
          <w:color w:val="auto"/>
          <w:kern w:val="0"/>
          <w:sz w:val="28"/>
          <w:szCs w:val="28"/>
          <w:highlight w:val="none"/>
        </w:rPr>
        <w:t>7、</w:t>
      </w:r>
      <w:r>
        <w:rPr>
          <w:rFonts w:hint="eastAsia" w:ascii="宋体" w:hAnsi="宋体" w:eastAsia="宋体" w:cs="宋体"/>
          <w:b/>
          <w:bCs/>
          <w:color w:val="auto"/>
          <w:kern w:val="0"/>
          <w:sz w:val="28"/>
          <w:szCs w:val="28"/>
          <w:highlight w:val="none"/>
          <w:lang w:val="en-US" w:eastAsia="zh-CN"/>
        </w:rPr>
        <w:t>投标文件</w:t>
      </w:r>
      <w:r>
        <w:rPr>
          <w:rFonts w:hint="eastAsia" w:ascii="宋体" w:hAnsi="宋体" w:eastAsia="宋体" w:cs="宋体"/>
          <w:b/>
          <w:bCs/>
          <w:color w:val="auto"/>
          <w:kern w:val="0"/>
          <w:sz w:val="28"/>
          <w:szCs w:val="28"/>
          <w:highlight w:val="none"/>
        </w:rPr>
        <w:t>的递交</w:t>
      </w:r>
      <w:bookmarkEnd w:id="51"/>
    </w:p>
    <w:p w14:paraId="7927D479">
      <w:pPr>
        <w:keepNext w:val="0"/>
        <w:keepLines w:val="0"/>
        <w:pageBreakBefore w:val="0"/>
        <w:widowControl/>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color w:val="auto"/>
          <w:kern w:val="0"/>
          <w:sz w:val="24"/>
          <w:highlight w:val="none"/>
          <w:u w:val="none"/>
        </w:rPr>
      </w:pPr>
      <w:r>
        <w:rPr>
          <w:rFonts w:hint="eastAsia" w:ascii="宋体" w:hAnsi="宋体" w:eastAsia="宋体" w:cs="宋体"/>
          <w:color w:val="auto"/>
          <w:kern w:val="0"/>
          <w:sz w:val="24"/>
          <w:highlight w:val="none"/>
        </w:rPr>
        <w:t>7.1</w:t>
      </w:r>
      <w:r>
        <w:rPr>
          <w:rFonts w:hint="eastAsia" w:ascii="宋体" w:hAnsi="宋体" w:eastAsia="宋体" w:cs="宋体"/>
          <w:color w:val="auto"/>
          <w:kern w:val="0"/>
          <w:sz w:val="24"/>
          <w:highlight w:val="none"/>
          <w:lang w:eastAsia="zh-CN"/>
        </w:rPr>
        <w:t>投标文件</w:t>
      </w:r>
      <w:r>
        <w:rPr>
          <w:rFonts w:hint="eastAsia" w:ascii="宋体" w:hAnsi="宋体" w:eastAsia="宋体" w:cs="宋体"/>
          <w:color w:val="auto"/>
          <w:kern w:val="0"/>
          <w:sz w:val="24"/>
          <w:highlight w:val="none"/>
        </w:rPr>
        <w:t>递交截止时间（</w:t>
      </w:r>
      <w:r>
        <w:rPr>
          <w:rFonts w:hint="eastAsia" w:ascii="宋体" w:hAnsi="宋体" w:eastAsia="宋体" w:cs="宋体"/>
          <w:color w:val="auto"/>
          <w:kern w:val="0"/>
          <w:sz w:val="24"/>
          <w:highlight w:val="none"/>
          <w:lang w:val="en-US" w:eastAsia="zh-CN"/>
        </w:rPr>
        <w:t>投标</w:t>
      </w:r>
      <w:r>
        <w:rPr>
          <w:rFonts w:hint="eastAsia" w:ascii="宋体" w:hAnsi="宋体" w:eastAsia="宋体" w:cs="宋体"/>
          <w:color w:val="auto"/>
          <w:kern w:val="0"/>
          <w:sz w:val="24"/>
          <w:highlight w:val="none"/>
        </w:rPr>
        <w:t>截止时间，下同）：</w:t>
      </w:r>
      <w:r>
        <w:rPr>
          <w:rFonts w:hint="eastAsia" w:ascii="宋体" w:hAnsi="宋体" w:eastAsia="宋体" w:cs="宋体"/>
          <w:color w:val="auto"/>
          <w:kern w:val="0"/>
          <w:sz w:val="24"/>
          <w:highlight w:val="none"/>
          <w:u w:val="none"/>
        </w:rPr>
        <w:t>202</w:t>
      </w:r>
      <w:r>
        <w:rPr>
          <w:rFonts w:hint="eastAsia" w:ascii="宋体" w:hAnsi="宋体" w:cs="宋体"/>
          <w:color w:val="auto"/>
          <w:kern w:val="0"/>
          <w:sz w:val="24"/>
          <w:highlight w:val="none"/>
          <w:u w:val="none"/>
          <w:lang w:val="en-US" w:eastAsia="zh-CN"/>
        </w:rPr>
        <w:t>6</w:t>
      </w:r>
      <w:r>
        <w:rPr>
          <w:rFonts w:hint="eastAsia" w:ascii="宋体" w:hAnsi="宋体" w:eastAsia="宋体" w:cs="宋体"/>
          <w:color w:val="auto"/>
          <w:kern w:val="0"/>
          <w:sz w:val="24"/>
          <w:highlight w:val="none"/>
          <w:u w:val="none"/>
        </w:rPr>
        <w:t>年</w:t>
      </w:r>
      <w:r>
        <w:rPr>
          <w:rFonts w:hint="eastAsia" w:ascii="宋体" w:hAnsi="宋体" w:cs="宋体"/>
          <w:color w:val="auto"/>
          <w:kern w:val="0"/>
          <w:sz w:val="24"/>
          <w:highlight w:val="none"/>
          <w:u w:val="none"/>
          <w:lang w:val="en-US" w:eastAsia="zh-CN"/>
        </w:rPr>
        <w:t>9</w:t>
      </w:r>
      <w:r>
        <w:rPr>
          <w:rFonts w:hint="eastAsia" w:ascii="宋体" w:hAnsi="宋体" w:eastAsia="宋体" w:cs="宋体"/>
          <w:color w:val="auto"/>
          <w:kern w:val="0"/>
          <w:sz w:val="24"/>
          <w:highlight w:val="none"/>
          <w:u w:val="none"/>
        </w:rPr>
        <w:t>月</w:t>
      </w:r>
      <w:r>
        <w:rPr>
          <w:rFonts w:hint="eastAsia" w:ascii="宋体" w:hAnsi="宋体" w:cs="宋体"/>
          <w:color w:val="auto"/>
          <w:kern w:val="0"/>
          <w:sz w:val="24"/>
          <w:highlight w:val="none"/>
          <w:u w:val="none"/>
          <w:lang w:val="en-US" w:eastAsia="zh-CN"/>
        </w:rPr>
        <w:t>29</w:t>
      </w:r>
      <w:r>
        <w:rPr>
          <w:rFonts w:hint="eastAsia" w:ascii="宋体" w:hAnsi="宋体" w:eastAsia="宋体" w:cs="宋体"/>
          <w:color w:val="auto"/>
          <w:kern w:val="0"/>
          <w:sz w:val="24"/>
          <w:highlight w:val="none"/>
          <w:u w:val="none"/>
        </w:rPr>
        <w:t>日</w:t>
      </w:r>
      <w:r>
        <w:rPr>
          <w:rFonts w:hint="eastAsia" w:ascii="宋体" w:hAnsi="宋体" w:eastAsia="宋体" w:cs="宋体"/>
          <w:color w:val="auto"/>
          <w:kern w:val="0"/>
          <w:sz w:val="24"/>
          <w:highlight w:val="none"/>
          <w:u w:val="none"/>
          <w:lang w:val="en-US" w:eastAsia="zh-CN"/>
        </w:rPr>
        <w:t>14时</w:t>
      </w:r>
      <w:r>
        <w:rPr>
          <w:rFonts w:hint="eastAsia" w:ascii="宋体" w:hAnsi="宋体" w:cs="宋体"/>
          <w:color w:val="auto"/>
          <w:kern w:val="0"/>
          <w:sz w:val="24"/>
          <w:highlight w:val="none"/>
          <w:u w:val="none"/>
          <w:lang w:val="en-US" w:eastAsia="zh-CN"/>
        </w:rPr>
        <w:t>3</w:t>
      </w:r>
      <w:r>
        <w:rPr>
          <w:rFonts w:hint="eastAsia" w:ascii="宋体" w:hAnsi="宋体" w:eastAsia="宋体" w:cs="宋体"/>
          <w:color w:val="auto"/>
          <w:kern w:val="0"/>
          <w:sz w:val="24"/>
          <w:highlight w:val="none"/>
          <w:u w:val="none"/>
        </w:rPr>
        <w:t>0</w:t>
      </w:r>
      <w:r>
        <w:rPr>
          <w:rFonts w:hint="eastAsia" w:ascii="宋体" w:hAnsi="宋体" w:eastAsia="宋体" w:cs="宋体"/>
          <w:color w:val="auto"/>
          <w:kern w:val="0"/>
          <w:sz w:val="24"/>
          <w:highlight w:val="none"/>
          <w:u w:val="none"/>
          <w:lang w:eastAsia="zh-CN"/>
        </w:rPr>
        <w:t>分</w:t>
      </w:r>
      <w:r>
        <w:rPr>
          <w:rFonts w:hint="eastAsia" w:ascii="宋体" w:hAnsi="宋体" w:eastAsia="宋体" w:cs="宋体"/>
          <w:color w:val="auto"/>
          <w:kern w:val="0"/>
          <w:sz w:val="24"/>
          <w:highlight w:val="none"/>
          <w:u w:val="none"/>
        </w:rPr>
        <w:t>（北京时间）。</w:t>
      </w:r>
    </w:p>
    <w:p w14:paraId="7B630A29">
      <w:pPr>
        <w:keepNext w:val="0"/>
        <w:keepLines w:val="0"/>
        <w:pageBreakBefore w:val="0"/>
        <w:widowControl/>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7.2</w:t>
      </w:r>
      <w:r>
        <w:rPr>
          <w:rFonts w:hint="eastAsia" w:ascii="宋体" w:hAnsi="宋体" w:eastAsia="宋体" w:cs="宋体"/>
          <w:color w:val="auto"/>
          <w:kern w:val="0"/>
          <w:sz w:val="24"/>
          <w:highlight w:val="none"/>
          <w:lang w:eastAsia="zh-CN"/>
        </w:rPr>
        <w:t>投标文件</w:t>
      </w:r>
      <w:r>
        <w:rPr>
          <w:rFonts w:hint="eastAsia" w:ascii="宋体" w:hAnsi="宋体" w:eastAsia="宋体" w:cs="宋体"/>
          <w:color w:val="auto"/>
          <w:kern w:val="0"/>
          <w:sz w:val="24"/>
          <w:highlight w:val="none"/>
        </w:rPr>
        <w:t>递交地点：长沙市雨花公共资源服务中心（长沙市雨花区香樟路592号市民之家办公楼东侧4楼）。</w:t>
      </w:r>
    </w:p>
    <w:p w14:paraId="31364010">
      <w:pPr>
        <w:keepNext w:val="0"/>
        <w:keepLines w:val="0"/>
        <w:pageBreakBefore w:val="0"/>
        <w:widowControl/>
        <w:kinsoku/>
        <w:wordWrap/>
        <w:overflowPunct/>
        <w:topLinePunct w:val="0"/>
        <w:autoSpaceDE/>
        <w:autoSpaceDN/>
        <w:bidi w:val="0"/>
        <w:adjustRightInd w:val="0"/>
        <w:snapToGrid w:val="0"/>
        <w:spacing w:line="360" w:lineRule="auto"/>
        <w:ind w:firstLine="482" w:firstLineChars="201"/>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7.3逾期送达的或者未送达指定地点的</w:t>
      </w:r>
      <w:r>
        <w:rPr>
          <w:rFonts w:hint="eastAsia" w:ascii="宋体" w:hAnsi="宋体" w:eastAsia="宋体" w:cs="宋体"/>
          <w:color w:val="auto"/>
          <w:kern w:val="0"/>
          <w:sz w:val="24"/>
          <w:highlight w:val="none"/>
          <w:lang w:eastAsia="zh-CN"/>
        </w:rPr>
        <w:t>投标文件</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招标人</w:t>
      </w:r>
      <w:r>
        <w:rPr>
          <w:rFonts w:hint="eastAsia" w:ascii="宋体" w:hAnsi="宋体" w:eastAsia="宋体" w:cs="宋体"/>
          <w:color w:val="auto"/>
          <w:kern w:val="0"/>
          <w:sz w:val="24"/>
          <w:highlight w:val="none"/>
        </w:rPr>
        <w:t>不予受理。</w:t>
      </w:r>
    </w:p>
    <w:p w14:paraId="74ADB068">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8"/>
          <w:szCs w:val="28"/>
          <w:highlight w:val="none"/>
        </w:rPr>
      </w:pPr>
      <w:bookmarkStart w:id="52" w:name="_Toc365406875"/>
      <w:r>
        <w:rPr>
          <w:rFonts w:hint="eastAsia" w:ascii="宋体" w:hAnsi="宋体" w:eastAsia="宋体" w:cs="宋体"/>
          <w:b/>
          <w:bCs/>
          <w:color w:val="auto"/>
          <w:kern w:val="0"/>
          <w:sz w:val="28"/>
          <w:szCs w:val="28"/>
          <w:highlight w:val="none"/>
        </w:rPr>
        <w:t>8、开标</w:t>
      </w:r>
      <w:bookmarkEnd w:id="52"/>
    </w:p>
    <w:p w14:paraId="32FFB61C">
      <w:pPr>
        <w:keepNext w:val="0"/>
        <w:keepLines w:val="0"/>
        <w:pageBreakBefore w:val="0"/>
        <w:widowControl/>
        <w:kinsoku/>
        <w:wordWrap/>
        <w:overflowPunct/>
        <w:topLinePunct w:val="0"/>
        <w:autoSpaceDE/>
        <w:autoSpaceDN/>
        <w:bidi w:val="0"/>
        <w:spacing w:line="360" w:lineRule="auto"/>
        <w:ind w:firstLine="482" w:firstLineChars="201"/>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8.1 开标时间</w:t>
      </w:r>
      <w:r>
        <w:rPr>
          <w:rFonts w:hint="eastAsia" w:ascii="宋体" w:hAnsi="宋体" w:eastAsia="宋体" w:cs="宋体"/>
          <w:color w:val="auto"/>
          <w:kern w:val="0"/>
          <w:sz w:val="24"/>
          <w:highlight w:val="none"/>
          <w:u w:val="none"/>
        </w:rPr>
        <w:t>：202</w:t>
      </w:r>
      <w:r>
        <w:rPr>
          <w:rFonts w:hint="eastAsia" w:ascii="宋体" w:hAnsi="宋体" w:cs="宋体"/>
          <w:color w:val="auto"/>
          <w:kern w:val="0"/>
          <w:sz w:val="24"/>
          <w:highlight w:val="none"/>
          <w:u w:val="none"/>
          <w:lang w:val="en-US" w:eastAsia="zh-CN"/>
        </w:rPr>
        <w:t>6</w:t>
      </w:r>
      <w:r>
        <w:rPr>
          <w:rFonts w:hint="eastAsia" w:ascii="宋体" w:hAnsi="宋体" w:eastAsia="宋体" w:cs="宋体"/>
          <w:color w:val="auto"/>
          <w:kern w:val="0"/>
          <w:sz w:val="24"/>
          <w:highlight w:val="none"/>
          <w:u w:val="none"/>
        </w:rPr>
        <w:t>年</w:t>
      </w:r>
      <w:r>
        <w:rPr>
          <w:rFonts w:hint="eastAsia" w:ascii="宋体" w:hAnsi="宋体" w:cs="宋体"/>
          <w:color w:val="auto"/>
          <w:kern w:val="0"/>
          <w:sz w:val="24"/>
          <w:highlight w:val="none"/>
          <w:u w:val="none"/>
          <w:lang w:val="en-US" w:eastAsia="zh-CN"/>
        </w:rPr>
        <w:t>9</w:t>
      </w:r>
      <w:r>
        <w:rPr>
          <w:rFonts w:hint="eastAsia" w:ascii="宋体" w:hAnsi="宋体" w:eastAsia="宋体" w:cs="宋体"/>
          <w:color w:val="auto"/>
          <w:kern w:val="0"/>
          <w:sz w:val="24"/>
          <w:highlight w:val="none"/>
          <w:u w:val="none"/>
        </w:rPr>
        <w:t>月</w:t>
      </w:r>
      <w:r>
        <w:rPr>
          <w:rFonts w:hint="eastAsia" w:ascii="宋体" w:hAnsi="宋体" w:cs="宋体"/>
          <w:color w:val="auto"/>
          <w:kern w:val="0"/>
          <w:sz w:val="24"/>
          <w:highlight w:val="none"/>
          <w:u w:val="none"/>
          <w:lang w:val="en-US" w:eastAsia="zh-CN"/>
        </w:rPr>
        <w:t>29</w:t>
      </w:r>
      <w:r>
        <w:rPr>
          <w:rFonts w:hint="eastAsia" w:ascii="宋体" w:hAnsi="宋体" w:eastAsia="宋体" w:cs="宋体"/>
          <w:color w:val="auto"/>
          <w:kern w:val="0"/>
          <w:sz w:val="24"/>
          <w:highlight w:val="none"/>
          <w:u w:val="none"/>
        </w:rPr>
        <w:t>日</w:t>
      </w:r>
      <w:r>
        <w:rPr>
          <w:rFonts w:hint="eastAsia" w:ascii="宋体" w:hAnsi="宋体" w:eastAsia="宋体" w:cs="宋体"/>
          <w:color w:val="auto"/>
          <w:kern w:val="0"/>
          <w:sz w:val="24"/>
          <w:highlight w:val="none"/>
          <w:u w:val="none"/>
          <w:lang w:val="en-US" w:eastAsia="zh-CN"/>
        </w:rPr>
        <w:t>14时</w:t>
      </w:r>
      <w:r>
        <w:rPr>
          <w:rFonts w:hint="eastAsia" w:ascii="宋体" w:hAnsi="宋体" w:cs="宋体"/>
          <w:color w:val="auto"/>
          <w:kern w:val="0"/>
          <w:sz w:val="24"/>
          <w:highlight w:val="none"/>
          <w:u w:val="none"/>
          <w:lang w:val="en-US" w:eastAsia="zh-CN"/>
        </w:rPr>
        <w:t>3</w:t>
      </w:r>
      <w:r>
        <w:rPr>
          <w:rFonts w:hint="eastAsia" w:ascii="宋体" w:hAnsi="宋体" w:eastAsia="宋体" w:cs="宋体"/>
          <w:color w:val="auto"/>
          <w:kern w:val="0"/>
          <w:sz w:val="24"/>
          <w:highlight w:val="none"/>
          <w:u w:val="none"/>
        </w:rPr>
        <w:t>0</w:t>
      </w:r>
      <w:r>
        <w:rPr>
          <w:rFonts w:hint="eastAsia" w:ascii="宋体" w:hAnsi="宋体" w:eastAsia="宋体" w:cs="宋体"/>
          <w:color w:val="auto"/>
          <w:kern w:val="0"/>
          <w:sz w:val="24"/>
          <w:highlight w:val="none"/>
          <w:u w:val="none"/>
          <w:lang w:eastAsia="zh-CN"/>
        </w:rPr>
        <w:t>分</w:t>
      </w:r>
      <w:r>
        <w:rPr>
          <w:rFonts w:hint="eastAsia" w:ascii="宋体" w:hAnsi="宋体" w:eastAsia="宋体" w:cs="宋体"/>
          <w:color w:val="auto"/>
          <w:kern w:val="0"/>
          <w:sz w:val="24"/>
          <w:highlight w:val="none"/>
          <w:u w:val="none"/>
        </w:rPr>
        <w:t>（北京时间）。</w:t>
      </w:r>
    </w:p>
    <w:p w14:paraId="00BF20CF">
      <w:pPr>
        <w:keepNext w:val="0"/>
        <w:keepLines w:val="0"/>
        <w:pageBreakBefore w:val="0"/>
        <w:widowControl/>
        <w:kinsoku/>
        <w:wordWrap/>
        <w:overflowPunct/>
        <w:topLinePunct w:val="0"/>
        <w:autoSpaceDE/>
        <w:autoSpaceDN/>
        <w:bidi w:val="0"/>
        <w:spacing w:line="360" w:lineRule="auto"/>
        <w:ind w:firstLine="482" w:firstLineChars="201"/>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8.2 开标地点：长沙市雨花公共资源服务中心（长沙市雨花区香樟路592号市民之家办公楼东侧4楼）。</w:t>
      </w:r>
    </w:p>
    <w:p w14:paraId="2A9A6BCA">
      <w:pPr>
        <w:keepNext w:val="0"/>
        <w:keepLines w:val="0"/>
        <w:pageBreakBefore w:val="0"/>
        <w:widowControl/>
        <w:kinsoku/>
        <w:wordWrap/>
        <w:overflowPunct/>
        <w:topLinePunct w:val="0"/>
        <w:autoSpaceDE/>
        <w:autoSpaceDN/>
        <w:bidi w:val="0"/>
        <w:spacing w:line="360" w:lineRule="auto"/>
        <w:ind w:firstLine="482" w:firstLineChars="201"/>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8.3 </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必须派法定代表授权委托人</w:t>
      </w:r>
      <w:r>
        <w:rPr>
          <w:rFonts w:hint="eastAsia" w:ascii="宋体" w:hAnsi="宋体" w:eastAsia="宋体" w:cs="宋体"/>
          <w:color w:val="auto"/>
          <w:kern w:val="0"/>
          <w:sz w:val="24"/>
          <w:highlight w:val="none"/>
          <w:lang w:val="en-US" w:eastAsia="zh-CN"/>
        </w:rPr>
        <w:t>或</w:t>
      </w:r>
      <w:r>
        <w:rPr>
          <w:rFonts w:hint="eastAsia" w:ascii="宋体" w:hAnsi="宋体" w:eastAsia="宋体" w:cs="宋体"/>
          <w:color w:val="auto"/>
          <w:kern w:val="0"/>
          <w:sz w:val="24"/>
          <w:highlight w:val="none"/>
        </w:rPr>
        <w:t>法定代表人</w:t>
      </w:r>
      <w:r>
        <w:rPr>
          <w:rFonts w:hint="eastAsia" w:ascii="宋体" w:hAnsi="宋体" w:eastAsia="宋体" w:cs="宋体"/>
          <w:color w:val="auto"/>
          <w:kern w:val="0"/>
          <w:sz w:val="24"/>
          <w:highlight w:val="none"/>
          <w:lang w:val="en-US" w:eastAsia="zh-CN"/>
        </w:rPr>
        <w:t>持</w:t>
      </w:r>
      <w:r>
        <w:rPr>
          <w:rFonts w:hint="eastAsia" w:ascii="宋体" w:hAnsi="宋体" w:eastAsia="宋体" w:cs="宋体"/>
          <w:color w:val="auto"/>
          <w:kern w:val="0"/>
          <w:sz w:val="24"/>
          <w:highlight w:val="none"/>
        </w:rPr>
        <w:t>身份证原件、</w:t>
      </w:r>
      <w:r>
        <w:rPr>
          <w:rFonts w:hint="eastAsia" w:ascii="宋体" w:hAnsi="宋体" w:eastAsia="宋体" w:cs="宋体"/>
          <w:color w:val="auto"/>
          <w:kern w:val="0"/>
          <w:sz w:val="24"/>
          <w:highlight w:val="none"/>
          <w:lang w:val="en-US" w:eastAsia="zh-CN"/>
        </w:rPr>
        <w:t>法人证明</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法定代表人</w:t>
      </w:r>
      <w:r>
        <w:rPr>
          <w:rFonts w:hint="eastAsia" w:ascii="宋体" w:hAnsi="宋体" w:eastAsia="宋体" w:cs="宋体"/>
          <w:color w:val="auto"/>
          <w:kern w:val="0"/>
          <w:sz w:val="24"/>
          <w:highlight w:val="none"/>
        </w:rPr>
        <w:t>授权委托书</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法定代表授权委托人需提供</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原件、</w:t>
      </w:r>
      <w:r>
        <w:rPr>
          <w:rFonts w:hint="eastAsia" w:ascii="宋体" w:hAnsi="宋体" w:eastAsia="宋体" w:cs="宋体"/>
          <w:color w:val="auto"/>
          <w:kern w:val="0"/>
          <w:sz w:val="24"/>
          <w:highlight w:val="none"/>
          <w:lang w:eastAsia="zh-CN"/>
        </w:rPr>
        <w:t>投标文件</w:t>
      </w:r>
      <w:r>
        <w:rPr>
          <w:rFonts w:hint="eastAsia" w:ascii="宋体" w:hAnsi="宋体" w:eastAsia="宋体" w:cs="宋体"/>
          <w:color w:val="auto"/>
          <w:kern w:val="0"/>
          <w:sz w:val="24"/>
          <w:highlight w:val="none"/>
        </w:rPr>
        <w:t>准时到会；否则，</w:t>
      </w:r>
      <w:r>
        <w:rPr>
          <w:rFonts w:hint="eastAsia" w:ascii="宋体" w:hAnsi="宋体" w:eastAsia="宋体" w:cs="宋体"/>
          <w:color w:val="auto"/>
          <w:kern w:val="0"/>
          <w:sz w:val="24"/>
          <w:highlight w:val="none"/>
          <w:lang w:val="en-US" w:eastAsia="zh-CN"/>
        </w:rPr>
        <w:t>其投标文件</w:t>
      </w:r>
      <w:r>
        <w:rPr>
          <w:rFonts w:hint="eastAsia" w:ascii="宋体" w:hAnsi="宋体" w:eastAsia="宋体" w:cs="宋体"/>
          <w:color w:val="auto"/>
          <w:kern w:val="0"/>
          <w:sz w:val="24"/>
          <w:highlight w:val="none"/>
        </w:rPr>
        <w:t>将被拒绝。</w:t>
      </w:r>
    </w:p>
    <w:p w14:paraId="5B7ADCC5">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8"/>
          <w:szCs w:val="28"/>
          <w:highlight w:val="none"/>
        </w:rPr>
      </w:pPr>
      <w:bookmarkStart w:id="53" w:name="_Toc365406876"/>
      <w:r>
        <w:rPr>
          <w:rFonts w:hint="eastAsia" w:ascii="宋体" w:hAnsi="宋体" w:eastAsia="宋体" w:cs="宋体"/>
          <w:b/>
          <w:bCs/>
          <w:color w:val="auto"/>
          <w:kern w:val="0"/>
          <w:sz w:val="28"/>
          <w:szCs w:val="28"/>
          <w:highlight w:val="none"/>
        </w:rPr>
        <w:t>9、联系方式</w:t>
      </w:r>
      <w:bookmarkEnd w:id="53"/>
    </w:p>
    <w:bookmarkEnd w:id="44"/>
    <w:bookmarkEnd w:id="45"/>
    <w:bookmarkEnd w:id="46"/>
    <w:bookmarkEnd w:id="47"/>
    <w:bookmarkEnd w:id="48"/>
    <w:bookmarkEnd w:id="49"/>
    <w:bookmarkEnd w:id="50"/>
    <w:p w14:paraId="01CE63C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val="en-US" w:eastAsia="zh-CN"/>
        </w:rPr>
        <w:t xml:space="preserve">招 标 </w:t>
      </w:r>
      <w:r>
        <w:rPr>
          <w:rFonts w:hint="eastAsia" w:ascii="宋体" w:hAnsi="宋体" w:eastAsia="宋体" w:cs="宋体"/>
          <w:color w:val="auto"/>
          <w:kern w:val="0"/>
          <w:sz w:val="24"/>
          <w:highlight w:val="none"/>
        </w:rPr>
        <w:t>人：</w:t>
      </w:r>
      <w:r>
        <w:rPr>
          <w:rFonts w:hint="eastAsia" w:ascii="宋体" w:hAnsi="宋体" w:eastAsia="宋体" w:cs="宋体"/>
          <w:color w:val="auto"/>
          <w:kern w:val="0"/>
          <w:sz w:val="24"/>
          <w:highlight w:val="none"/>
          <w:lang w:eastAsia="zh-CN"/>
        </w:rPr>
        <w:t xml:space="preserve">长沙市雨花城市建设投资集团有限公司 </w:t>
      </w:r>
    </w:p>
    <w:p w14:paraId="70B6469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地    址：</w:t>
      </w:r>
      <w:r>
        <w:rPr>
          <w:rFonts w:hint="eastAsia" w:ascii="宋体" w:hAnsi="宋体" w:cs="宋体"/>
          <w:color w:val="auto"/>
          <w:kern w:val="0"/>
          <w:sz w:val="24"/>
          <w:highlight w:val="none"/>
          <w:lang w:eastAsia="zh-CN"/>
        </w:rPr>
        <w:t>长沙市雨花区圭香路瑞景苑4号栋</w:t>
      </w:r>
    </w:p>
    <w:p w14:paraId="5489203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电</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话：</w:t>
      </w:r>
      <w:r>
        <w:rPr>
          <w:rFonts w:hint="eastAsia" w:ascii="宋体" w:hAnsi="宋体" w:cs="宋体"/>
          <w:color w:val="auto"/>
          <w:kern w:val="0"/>
          <w:sz w:val="24"/>
          <w:highlight w:val="none"/>
          <w:lang w:eastAsia="zh-CN"/>
        </w:rPr>
        <w:t>0731-88091186</w:t>
      </w:r>
    </w:p>
    <w:p w14:paraId="6138CFA5">
      <w:pPr>
        <w:keepNext w:val="0"/>
        <w:keepLines w:val="0"/>
        <w:pageBreakBefore w:val="0"/>
        <w:widowControl/>
        <w:kinsoku/>
        <w:wordWrap/>
        <w:overflowPunct/>
        <w:topLinePunct w:val="0"/>
        <w:autoSpaceDE/>
        <w:autoSpaceDN/>
        <w:bidi w:val="0"/>
        <w:spacing w:line="360" w:lineRule="auto"/>
        <w:ind w:firstLine="482" w:firstLineChars="201"/>
        <w:jc w:val="left"/>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联 系 人：</w:t>
      </w:r>
      <w:r>
        <w:rPr>
          <w:rFonts w:hint="eastAsia" w:ascii="宋体" w:hAnsi="宋体" w:cs="宋体"/>
          <w:color w:val="auto"/>
          <w:kern w:val="0"/>
          <w:sz w:val="24"/>
          <w:highlight w:val="none"/>
          <w:lang w:val="en-US" w:eastAsia="zh-CN"/>
        </w:rPr>
        <w:t>徐女士、赵女士</w:t>
      </w:r>
    </w:p>
    <w:p w14:paraId="7D2DAA4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 </w:t>
      </w:r>
    </w:p>
    <w:p w14:paraId="21FCEFB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招标代理：</w:t>
      </w:r>
      <w:r>
        <w:rPr>
          <w:rFonts w:hint="eastAsia" w:ascii="宋体" w:hAnsi="宋体" w:eastAsia="宋体" w:cs="宋体"/>
          <w:color w:val="auto"/>
          <w:kern w:val="0"/>
          <w:sz w:val="24"/>
          <w:highlight w:val="none"/>
          <w:lang w:val="en-US" w:eastAsia="zh-CN"/>
        </w:rPr>
        <w:t>湖南扬航项目管理有限公司</w:t>
      </w:r>
      <w:r>
        <w:rPr>
          <w:rFonts w:hint="eastAsia" w:ascii="宋体" w:hAnsi="宋体" w:eastAsia="宋体" w:cs="宋体"/>
          <w:color w:val="auto"/>
          <w:kern w:val="0"/>
          <w:sz w:val="24"/>
          <w:highlight w:val="none"/>
        </w:rPr>
        <w:t xml:space="preserve"> </w:t>
      </w:r>
    </w:p>
    <w:p w14:paraId="471A71D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    址：</w:t>
      </w:r>
      <w:r>
        <w:rPr>
          <w:rFonts w:hint="eastAsia" w:ascii="宋体" w:hAnsi="宋体" w:cs="宋体"/>
          <w:color w:val="auto"/>
          <w:kern w:val="0"/>
          <w:sz w:val="24"/>
          <w:highlight w:val="none"/>
          <w:lang w:eastAsia="zh-CN"/>
        </w:rPr>
        <w:t>长沙市雨花区万家丽路157号唐湘电器城6栋9号</w:t>
      </w:r>
    </w:p>
    <w:p w14:paraId="2AC30D6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电</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话：</w:t>
      </w:r>
      <w:r>
        <w:rPr>
          <w:rFonts w:hint="eastAsia" w:ascii="宋体" w:hAnsi="宋体" w:eastAsia="宋体" w:cs="宋体"/>
          <w:color w:val="auto"/>
          <w:kern w:val="0"/>
          <w:sz w:val="24"/>
          <w:highlight w:val="none"/>
          <w:lang w:val="en-US" w:eastAsia="zh-CN"/>
        </w:rPr>
        <w:t>0731-85048918</w:t>
      </w:r>
      <w:r>
        <w:rPr>
          <w:rFonts w:hint="eastAsia" w:ascii="宋体" w:hAnsi="宋体" w:eastAsia="宋体" w:cs="宋体"/>
          <w:color w:val="auto"/>
          <w:kern w:val="0"/>
          <w:sz w:val="24"/>
          <w:highlight w:val="none"/>
          <w:lang w:eastAsia="zh-CN"/>
        </w:rPr>
        <w:t xml:space="preserve">   </w:t>
      </w:r>
    </w:p>
    <w:p w14:paraId="7D6C779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val="en-US" w:eastAsia="zh-CN"/>
        </w:rPr>
        <w:t>联 系 人：谢女士、刘女士</w:t>
      </w:r>
    </w:p>
    <w:p w14:paraId="47691675">
      <w:pPr>
        <w:keepNext w:val="0"/>
        <w:keepLines w:val="0"/>
        <w:pageBreakBefore w:val="0"/>
        <w:widowControl/>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lang w:val="en-US" w:eastAsia="zh-CN"/>
        </w:rPr>
        <w:t>10</w:t>
      </w:r>
      <w:r>
        <w:rPr>
          <w:rFonts w:hint="eastAsia" w:ascii="宋体" w:hAnsi="宋体" w:eastAsia="宋体" w:cs="宋体"/>
          <w:b/>
          <w:bCs/>
          <w:color w:val="auto"/>
          <w:kern w:val="0"/>
          <w:sz w:val="28"/>
          <w:szCs w:val="28"/>
          <w:highlight w:val="none"/>
          <w:lang w:eastAsia="zh-CN"/>
        </w:rPr>
        <w:t>、监督部门联系方式</w:t>
      </w:r>
    </w:p>
    <w:p w14:paraId="3069570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监督部门：</w:t>
      </w:r>
      <w:bookmarkStart w:id="54" w:name="OLE_LINK12"/>
      <w:r>
        <w:rPr>
          <w:rFonts w:hint="eastAsia" w:ascii="宋体" w:hAnsi="宋体" w:eastAsia="宋体" w:cs="宋体"/>
          <w:color w:val="auto"/>
          <w:kern w:val="0"/>
          <w:sz w:val="24"/>
          <w:highlight w:val="none"/>
          <w:lang w:eastAsia="zh-CN"/>
        </w:rPr>
        <w:t>雨花区住建局物业监管科</w:t>
      </w:r>
      <w:bookmarkEnd w:id="54"/>
    </w:p>
    <w:p w14:paraId="73F5AEC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电话：0731-85562811</w:t>
      </w:r>
    </w:p>
    <w:p w14:paraId="276AE52A">
      <w:pPr>
        <w:spacing w:line="360" w:lineRule="auto"/>
        <w:rPr>
          <w:rFonts w:hint="eastAsia" w:ascii="宋体" w:hAnsi="宋体" w:eastAsia="宋体" w:cs="宋体"/>
          <w:color w:val="auto"/>
        </w:rPr>
      </w:pPr>
      <w:r>
        <w:rPr>
          <w:rFonts w:hint="eastAsia" w:ascii="宋体" w:hAnsi="宋体" w:eastAsia="宋体" w:cs="宋体"/>
          <w:color w:val="auto"/>
          <w:sz w:val="24"/>
        </w:rPr>
        <w:br w:type="page"/>
      </w:r>
    </w:p>
    <w:p w14:paraId="0075FDB7">
      <w:pPr>
        <w:pStyle w:val="2"/>
        <w:spacing w:line="360" w:lineRule="auto"/>
        <w:rPr>
          <w:rFonts w:hint="eastAsia" w:ascii="宋体" w:hAnsi="宋体" w:eastAsia="宋体" w:cs="宋体"/>
          <w:color w:val="auto"/>
        </w:rPr>
      </w:pPr>
      <w:r>
        <w:rPr>
          <w:rFonts w:hint="eastAsia" w:ascii="宋体" w:hAnsi="宋体" w:eastAsia="宋体" w:cs="宋体"/>
          <w:color w:val="auto"/>
        </w:rPr>
        <w:t xml:space="preserve">             </w:t>
      </w:r>
      <w:bookmarkStart w:id="55" w:name="_Toc23719"/>
      <w:bookmarkStart w:id="56" w:name="_Toc6044"/>
      <w:bookmarkStart w:id="57" w:name="_Toc2301"/>
      <w:bookmarkStart w:id="58" w:name="_Toc24800"/>
      <w:bookmarkStart w:id="59" w:name="_Toc24075"/>
      <w:bookmarkStart w:id="60" w:name="_Toc9544"/>
      <w:r>
        <w:rPr>
          <w:rFonts w:hint="eastAsia" w:ascii="宋体" w:hAnsi="宋体" w:eastAsia="宋体" w:cs="宋体"/>
          <w:color w:val="auto"/>
        </w:rPr>
        <w:t>第二章  投标人须知</w:t>
      </w:r>
      <w:bookmarkEnd w:id="55"/>
      <w:bookmarkEnd w:id="56"/>
      <w:bookmarkEnd w:id="57"/>
      <w:bookmarkEnd w:id="58"/>
      <w:bookmarkEnd w:id="59"/>
      <w:bookmarkEnd w:id="60"/>
    </w:p>
    <w:p w14:paraId="6B64CA67">
      <w:pPr>
        <w:pStyle w:val="3"/>
        <w:numPr>
          <w:ilvl w:val="1"/>
          <w:numId w:val="0"/>
        </w:numPr>
        <w:spacing w:line="400" w:lineRule="exact"/>
        <w:jc w:val="center"/>
        <w:rPr>
          <w:rFonts w:hint="eastAsia" w:ascii="宋体" w:hAnsi="宋体" w:eastAsia="宋体" w:cs="宋体"/>
          <w:color w:val="auto"/>
          <w:w w:val="100"/>
          <w:kern w:val="32"/>
        </w:rPr>
      </w:pPr>
      <w:bookmarkStart w:id="61" w:name="_Toc32161"/>
      <w:bookmarkStart w:id="62" w:name="_Toc26340"/>
      <w:bookmarkStart w:id="63" w:name="_Toc12808"/>
      <w:bookmarkStart w:id="64" w:name="_Toc5169"/>
      <w:bookmarkStart w:id="65" w:name="_Toc953"/>
      <w:bookmarkStart w:id="66" w:name="_Toc30109"/>
      <w:r>
        <w:rPr>
          <w:rFonts w:hint="eastAsia" w:ascii="宋体" w:hAnsi="宋体" w:eastAsia="宋体" w:cs="宋体"/>
          <w:color w:val="auto"/>
          <w:w w:val="100"/>
          <w:kern w:val="32"/>
        </w:rPr>
        <w:t>1总则</w:t>
      </w:r>
      <w:bookmarkEnd w:id="61"/>
      <w:bookmarkEnd w:id="62"/>
      <w:bookmarkEnd w:id="63"/>
      <w:bookmarkEnd w:id="64"/>
      <w:bookmarkEnd w:id="65"/>
      <w:bookmarkEnd w:id="66"/>
    </w:p>
    <w:p w14:paraId="1B1561C7">
      <w:pPr>
        <w:spacing w:line="400" w:lineRule="exact"/>
        <w:ind w:left="718" w:leftChars="1" w:hanging="716" w:hangingChars="297"/>
        <w:rPr>
          <w:rFonts w:hint="eastAsia" w:ascii="宋体" w:hAnsi="宋体" w:eastAsia="宋体" w:cs="宋体"/>
          <w:b/>
          <w:bCs/>
          <w:color w:val="auto"/>
          <w:sz w:val="24"/>
        </w:rPr>
      </w:pPr>
      <w:bookmarkStart w:id="67" w:name="_Toc227423923"/>
      <w:r>
        <w:rPr>
          <w:rFonts w:hint="eastAsia" w:ascii="宋体" w:hAnsi="宋体" w:eastAsia="宋体" w:cs="宋体"/>
          <w:b/>
          <w:bCs/>
          <w:color w:val="auto"/>
          <w:sz w:val="24"/>
        </w:rPr>
        <w:t>1.1．适用范围</w:t>
      </w:r>
    </w:p>
    <w:p w14:paraId="7805CA82">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1.1.1本文件仅适用于本招标公告中所述的招标项目。</w:t>
      </w:r>
    </w:p>
    <w:p w14:paraId="7D0B2CD9">
      <w:pPr>
        <w:spacing w:line="400" w:lineRule="exact"/>
        <w:ind w:left="718" w:leftChars="1" w:hanging="716" w:hangingChars="297"/>
        <w:rPr>
          <w:rFonts w:hint="eastAsia" w:ascii="宋体" w:hAnsi="宋体" w:eastAsia="宋体" w:cs="宋体"/>
          <w:b/>
          <w:bCs/>
          <w:color w:val="auto"/>
          <w:sz w:val="24"/>
        </w:rPr>
      </w:pPr>
      <w:r>
        <w:rPr>
          <w:rFonts w:hint="eastAsia" w:ascii="宋体" w:hAnsi="宋体" w:eastAsia="宋体" w:cs="宋体"/>
          <w:b/>
          <w:bCs/>
          <w:color w:val="auto"/>
          <w:sz w:val="24"/>
        </w:rPr>
        <w:t>1.2定义</w:t>
      </w:r>
    </w:p>
    <w:p w14:paraId="7DEA4C5B">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1.2.1“招标人”系</w:t>
      </w:r>
      <w:r>
        <w:rPr>
          <w:rFonts w:hint="eastAsia" w:ascii="宋体" w:hAnsi="宋体" w:eastAsia="宋体" w:cs="宋体"/>
          <w:color w:val="auto"/>
          <w:sz w:val="24"/>
          <w:lang w:eastAsia="zh-CN"/>
        </w:rPr>
        <w:t>长沙市雨花城市建设投资集团有限公司</w:t>
      </w:r>
      <w:r>
        <w:rPr>
          <w:rFonts w:hint="eastAsia" w:ascii="宋体" w:hAnsi="宋体" w:eastAsia="宋体" w:cs="宋体"/>
          <w:color w:val="auto"/>
          <w:sz w:val="24"/>
        </w:rPr>
        <w:t>。</w:t>
      </w:r>
    </w:p>
    <w:p w14:paraId="49F973B1">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1.2.2“投标人”系指响应招标文件参与投标并提交投标文件的单位。</w:t>
      </w:r>
    </w:p>
    <w:p w14:paraId="2200098B">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1.2.3“中标人”系指被确定为承接本项目并负责其实施的投标人。</w:t>
      </w:r>
    </w:p>
    <w:p w14:paraId="5C97A711">
      <w:pPr>
        <w:spacing w:line="400" w:lineRule="exact"/>
        <w:ind w:left="718" w:leftChars="1" w:hanging="716" w:hangingChars="297"/>
        <w:rPr>
          <w:rFonts w:hint="eastAsia" w:ascii="宋体" w:hAnsi="宋体" w:eastAsia="宋体" w:cs="宋体"/>
          <w:b/>
          <w:bCs/>
          <w:color w:val="auto"/>
          <w:sz w:val="24"/>
        </w:rPr>
      </w:pPr>
      <w:r>
        <w:rPr>
          <w:rFonts w:hint="eastAsia" w:ascii="宋体" w:hAnsi="宋体" w:eastAsia="宋体" w:cs="宋体"/>
          <w:b/>
          <w:bCs/>
          <w:color w:val="auto"/>
          <w:sz w:val="24"/>
        </w:rPr>
        <w:t>1.3投标人应具备的条件</w:t>
      </w:r>
    </w:p>
    <w:p w14:paraId="65BFCC08">
      <w:pPr>
        <w:tabs>
          <w:tab w:val="left" w:pos="7920"/>
        </w:tabs>
        <w:spacing w:line="500" w:lineRule="exact"/>
        <w:ind w:right="15" w:rightChars="7" w:firstLine="470" w:firstLineChars="196"/>
        <w:rPr>
          <w:rFonts w:hint="eastAsia" w:ascii="宋体" w:hAnsi="宋体" w:eastAsia="宋体" w:cs="宋体"/>
          <w:color w:val="auto"/>
          <w:sz w:val="24"/>
        </w:rPr>
      </w:pPr>
      <w:r>
        <w:rPr>
          <w:rFonts w:hint="eastAsia" w:ascii="宋体" w:hAnsi="宋体" w:eastAsia="宋体" w:cs="宋体"/>
          <w:color w:val="auto"/>
          <w:sz w:val="24"/>
        </w:rPr>
        <w:t xml:space="preserve">1.3.1详见招标公告第二条。  </w:t>
      </w:r>
    </w:p>
    <w:p w14:paraId="5B1EDA2C">
      <w:pPr>
        <w:spacing w:line="400" w:lineRule="exact"/>
        <w:ind w:left="718" w:leftChars="1" w:hanging="716" w:hangingChars="297"/>
        <w:rPr>
          <w:rFonts w:hint="eastAsia" w:ascii="宋体" w:hAnsi="宋体" w:eastAsia="宋体" w:cs="宋体"/>
          <w:b/>
          <w:bCs/>
          <w:color w:val="auto"/>
          <w:sz w:val="24"/>
        </w:rPr>
      </w:pPr>
      <w:r>
        <w:rPr>
          <w:rFonts w:hint="eastAsia" w:ascii="宋体" w:hAnsi="宋体" w:eastAsia="宋体" w:cs="宋体"/>
          <w:b/>
          <w:bCs/>
          <w:color w:val="auto"/>
          <w:sz w:val="24"/>
        </w:rPr>
        <w:t>1.4.招标条件</w:t>
      </w:r>
    </w:p>
    <w:p w14:paraId="46C43BD3">
      <w:pPr>
        <w:tabs>
          <w:tab w:val="left" w:pos="7920"/>
        </w:tabs>
        <w:spacing w:line="500" w:lineRule="exact"/>
        <w:ind w:right="15" w:rightChars="7" w:firstLine="480" w:firstLineChars="200"/>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u w:val="none"/>
          <w:lang w:val="en-US" w:eastAsia="zh-CN"/>
        </w:rPr>
        <w:t xml:space="preserve"> </w:t>
      </w:r>
      <w:r>
        <w:rPr>
          <w:rFonts w:hint="eastAsia" w:ascii="宋体" w:hAnsi="宋体" w:cs="宋体"/>
          <w:bCs/>
          <w:color w:val="auto"/>
          <w:sz w:val="24"/>
          <w:szCs w:val="24"/>
          <w:highlight w:val="none"/>
          <w:u w:val="none"/>
          <w:lang w:val="en-US" w:eastAsia="zh-CN"/>
        </w:rPr>
        <w:t>同兴佳苑前期物业管理服务</w:t>
      </w:r>
    </w:p>
    <w:p w14:paraId="7AFD906A">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1.5费用承担</w:t>
      </w:r>
    </w:p>
    <w:p w14:paraId="06A14FFD">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投标人准备和参加投标活动发生的费用自理。</w:t>
      </w:r>
    </w:p>
    <w:p w14:paraId="6AD43439">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1.6保密</w:t>
      </w:r>
    </w:p>
    <w:p w14:paraId="1A0927C8">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参与招标投标活动的各方应对招标文件和投标文件中的商业和技术等秘密保密，违者应对由此造成的后果承担法律责任。</w:t>
      </w:r>
    </w:p>
    <w:p w14:paraId="19E7F40F">
      <w:pPr>
        <w:tabs>
          <w:tab w:val="left" w:pos="7920"/>
        </w:tabs>
        <w:spacing w:line="500" w:lineRule="exact"/>
        <w:ind w:right="15" w:rightChars="7"/>
        <w:rPr>
          <w:rFonts w:hint="eastAsia" w:ascii="宋体" w:hAnsi="宋体" w:eastAsia="宋体" w:cs="宋体"/>
          <w:b/>
          <w:color w:val="auto"/>
          <w:sz w:val="24"/>
        </w:rPr>
      </w:pPr>
      <w:bookmarkStart w:id="68" w:name="_Toc235592900"/>
      <w:bookmarkStart w:id="69" w:name="_Toc358982037"/>
      <w:bookmarkStart w:id="70" w:name="_Toc335324725"/>
      <w:bookmarkStart w:id="71" w:name="_Toc376171335"/>
      <w:bookmarkStart w:id="72" w:name="_Toc378061528"/>
      <w:bookmarkStart w:id="73" w:name="_Toc373007188"/>
      <w:bookmarkStart w:id="74" w:name="_Toc358982539"/>
      <w:bookmarkStart w:id="75" w:name="_Toc193115699"/>
      <w:r>
        <w:rPr>
          <w:rFonts w:hint="eastAsia" w:ascii="宋体" w:hAnsi="宋体" w:eastAsia="宋体" w:cs="宋体"/>
          <w:b/>
          <w:color w:val="auto"/>
          <w:sz w:val="24"/>
        </w:rPr>
        <w:t>1.7语言文字</w:t>
      </w:r>
      <w:bookmarkEnd w:id="68"/>
      <w:bookmarkEnd w:id="69"/>
      <w:bookmarkEnd w:id="70"/>
      <w:bookmarkEnd w:id="71"/>
      <w:bookmarkEnd w:id="72"/>
      <w:bookmarkEnd w:id="73"/>
      <w:bookmarkEnd w:id="74"/>
      <w:bookmarkEnd w:id="75"/>
    </w:p>
    <w:p w14:paraId="68BCCF8E">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除专用术语外，与招标投标有关的语言均使用中文。必要时专用术语应附有中文注释。</w:t>
      </w:r>
    </w:p>
    <w:p w14:paraId="6557F6DD">
      <w:pPr>
        <w:tabs>
          <w:tab w:val="left" w:pos="7920"/>
        </w:tabs>
        <w:spacing w:line="500" w:lineRule="exact"/>
        <w:ind w:right="15" w:rightChars="7"/>
        <w:rPr>
          <w:rFonts w:hint="eastAsia" w:ascii="宋体" w:hAnsi="宋体" w:eastAsia="宋体" w:cs="宋体"/>
          <w:b/>
          <w:color w:val="auto"/>
          <w:sz w:val="24"/>
        </w:rPr>
      </w:pPr>
      <w:bookmarkStart w:id="76" w:name="_Toc358982540"/>
      <w:bookmarkStart w:id="77" w:name="_Toc376171336"/>
      <w:bookmarkStart w:id="78" w:name="_Toc358982038"/>
      <w:bookmarkStart w:id="79" w:name="_Toc193115700"/>
      <w:bookmarkStart w:id="80" w:name="_Toc235592901"/>
      <w:bookmarkStart w:id="81" w:name="_Toc335324726"/>
      <w:bookmarkStart w:id="82" w:name="_Toc373007189"/>
      <w:bookmarkStart w:id="83" w:name="_Toc378061529"/>
      <w:r>
        <w:rPr>
          <w:rFonts w:hint="eastAsia" w:ascii="宋体" w:hAnsi="宋体" w:eastAsia="宋体" w:cs="宋体"/>
          <w:b/>
          <w:color w:val="auto"/>
          <w:sz w:val="24"/>
        </w:rPr>
        <w:t>1.8计量单位</w:t>
      </w:r>
      <w:bookmarkEnd w:id="76"/>
      <w:bookmarkEnd w:id="77"/>
      <w:bookmarkEnd w:id="78"/>
      <w:bookmarkEnd w:id="79"/>
      <w:bookmarkEnd w:id="80"/>
      <w:bookmarkEnd w:id="81"/>
      <w:bookmarkEnd w:id="82"/>
      <w:bookmarkEnd w:id="83"/>
    </w:p>
    <w:p w14:paraId="2231C935">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所有计量均采用中华人民共和国法定计量单位。</w:t>
      </w:r>
    </w:p>
    <w:p w14:paraId="009FB7FF">
      <w:pPr>
        <w:tabs>
          <w:tab w:val="left" w:pos="7920"/>
        </w:tabs>
        <w:spacing w:line="500" w:lineRule="exact"/>
        <w:ind w:right="15" w:rightChars="7"/>
        <w:rPr>
          <w:rFonts w:hint="eastAsia" w:ascii="宋体" w:hAnsi="宋体" w:eastAsia="宋体" w:cs="宋体"/>
          <w:b/>
          <w:bCs/>
          <w:color w:val="auto"/>
          <w:sz w:val="24"/>
        </w:rPr>
      </w:pPr>
      <w:bookmarkStart w:id="84" w:name="_Toc376171337"/>
      <w:bookmarkStart w:id="85" w:name="_Toc358982039"/>
      <w:bookmarkStart w:id="86" w:name="_Toc358982541"/>
      <w:bookmarkStart w:id="87" w:name="_Toc378061530"/>
      <w:bookmarkStart w:id="88" w:name="_Toc335324727"/>
      <w:bookmarkStart w:id="89" w:name="_Toc373007190"/>
      <w:bookmarkStart w:id="90" w:name="_Toc193115701"/>
      <w:bookmarkStart w:id="91" w:name="_Toc235592902"/>
      <w:r>
        <w:rPr>
          <w:rFonts w:hint="eastAsia" w:ascii="宋体" w:hAnsi="宋体" w:eastAsia="宋体" w:cs="宋体"/>
          <w:b/>
          <w:bCs/>
          <w:color w:val="auto"/>
          <w:sz w:val="24"/>
        </w:rPr>
        <w:t>1.9踏勘现场</w:t>
      </w:r>
      <w:bookmarkEnd w:id="84"/>
      <w:bookmarkEnd w:id="85"/>
      <w:bookmarkEnd w:id="86"/>
      <w:bookmarkEnd w:id="87"/>
      <w:bookmarkEnd w:id="88"/>
      <w:bookmarkEnd w:id="89"/>
      <w:bookmarkEnd w:id="90"/>
      <w:bookmarkEnd w:id="91"/>
    </w:p>
    <w:p w14:paraId="088C925A">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1.9.1</w:t>
      </w:r>
      <w:r>
        <w:rPr>
          <w:rFonts w:hint="eastAsia" w:ascii="宋体" w:hAnsi="宋体" w:eastAsia="宋体" w:cs="宋体"/>
          <w:color w:val="auto"/>
          <w:sz w:val="24"/>
          <w:lang w:val="zh-TW"/>
        </w:rPr>
        <w:t>招标人将按投标人须知前附表规定，投标人自行对工程现场及周围环境进行踏勘，以获取有关编制投标文件和签署合同所涉及现场的资料。投标人承担踏勘现场所发生的自身费用。</w:t>
      </w:r>
    </w:p>
    <w:p w14:paraId="6E23029F">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 xml:space="preserve">1.9.2 </w:t>
      </w:r>
      <w:r>
        <w:rPr>
          <w:rFonts w:hint="eastAsia" w:ascii="宋体" w:hAnsi="宋体" w:eastAsia="宋体" w:cs="宋体"/>
          <w:color w:val="auto"/>
          <w:sz w:val="24"/>
          <w:lang w:val="zh-TW"/>
        </w:rPr>
        <w:t>招标人向投标人提供的有关现场的数据和资料，供投标人在编制投标文件时参考，招标人不对投标人据此作出的判断和决策负责。</w:t>
      </w:r>
    </w:p>
    <w:p w14:paraId="155EA6F7">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 xml:space="preserve">1.9.3 </w:t>
      </w:r>
      <w:r>
        <w:rPr>
          <w:rFonts w:hint="eastAsia" w:ascii="宋体" w:hAnsi="宋体" w:eastAsia="宋体" w:cs="宋体"/>
          <w:color w:val="auto"/>
          <w:sz w:val="24"/>
          <w:lang w:val="zh-TW"/>
        </w:rPr>
        <w:t>投标人可为踏勘目的进入招标人的项目现场，但投标人不得因此使招标人承担有关的责任和蒙受损失。投标人应承担踏勘现场的责任和风险</w:t>
      </w:r>
      <w:r>
        <w:rPr>
          <w:rFonts w:hint="eastAsia" w:ascii="宋体" w:hAnsi="宋体" w:eastAsia="宋体" w:cs="宋体"/>
          <w:color w:val="auto"/>
          <w:sz w:val="24"/>
        </w:rPr>
        <w:t>。</w:t>
      </w:r>
    </w:p>
    <w:p w14:paraId="6F314ACD">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1.10招标答疑</w:t>
      </w:r>
    </w:p>
    <w:p w14:paraId="6608A5E9">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1.10.1</w:t>
      </w:r>
      <w:r>
        <w:rPr>
          <w:rFonts w:hint="eastAsia" w:ascii="宋体" w:hAnsi="宋体" w:eastAsia="宋体" w:cs="宋体"/>
          <w:color w:val="auto"/>
          <w:sz w:val="24"/>
          <w:lang w:val="zh-TW"/>
        </w:rPr>
        <w:t>招标答疑会按招标公告规定。</w:t>
      </w:r>
    </w:p>
    <w:p w14:paraId="701B8D38">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1.10.2</w:t>
      </w:r>
      <w:r>
        <w:rPr>
          <w:rFonts w:hint="eastAsia" w:ascii="宋体" w:hAnsi="宋体" w:eastAsia="宋体" w:cs="宋体"/>
          <w:color w:val="auto"/>
          <w:sz w:val="24"/>
          <w:lang w:val="zh-TW"/>
        </w:rPr>
        <w:t>投标人的疑问应在招标公告规定的时间前及规定的方式提出，以便招标人在规定时间内澄清。</w:t>
      </w:r>
    </w:p>
    <w:p w14:paraId="234894D4">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1.10.3招标人在投标人须知前附表规定的时间内，将对投标人提出问题的澄清，在</w:t>
      </w:r>
      <w:r>
        <w:rPr>
          <w:rFonts w:hint="eastAsia" w:ascii="宋体" w:hAnsi="宋体" w:eastAsia="宋体" w:cs="宋体"/>
          <w:color w:val="auto"/>
          <w:sz w:val="24"/>
          <w:lang w:val="en-US" w:eastAsia="zh-CN"/>
        </w:rPr>
        <w:t>招标公告指定媒体</w:t>
      </w:r>
      <w:r>
        <w:rPr>
          <w:rFonts w:hint="eastAsia" w:ascii="宋体" w:hAnsi="宋体" w:eastAsia="宋体" w:cs="宋体"/>
          <w:color w:val="auto"/>
          <w:sz w:val="24"/>
        </w:rPr>
        <w:t>发布澄清文件，敬请获得招标文件的所有投标人关注，恕不另行通知，如有遗漏招标人概不负责。</w:t>
      </w:r>
      <w:r>
        <w:rPr>
          <w:rFonts w:hint="eastAsia" w:ascii="宋体" w:hAnsi="宋体" w:eastAsia="宋体" w:cs="宋体"/>
          <w:color w:val="auto"/>
          <w:sz w:val="24"/>
          <w:lang w:val="zh-TW"/>
        </w:rPr>
        <w:t>该澄清内容为招标文件的组成部分。</w:t>
      </w:r>
    </w:p>
    <w:p w14:paraId="5421F463">
      <w:pPr>
        <w:pStyle w:val="3"/>
        <w:numPr>
          <w:ilvl w:val="1"/>
          <w:numId w:val="0"/>
        </w:numPr>
        <w:spacing w:line="400" w:lineRule="exact"/>
        <w:jc w:val="center"/>
        <w:rPr>
          <w:rFonts w:hint="eastAsia" w:ascii="宋体" w:hAnsi="宋体" w:eastAsia="宋体" w:cs="宋体"/>
          <w:color w:val="auto"/>
          <w:w w:val="100"/>
          <w:kern w:val="32"/>
        </w:rPr>
      </w:pPr>
      <w:bookmarkStart w:id="92" w:name="_Toc23751"/>
      <w:bookmarkStart w:id="93" w:name="_Toc17268"/>
      <w:bookmarkStart w:id="94" w:name="_Toc13235"/>
      <w:bookmarkStart w:id="95" w:name="_Toc26911"/>
      <w:bookmarkStart w:id="96" w:name="_Toc23836"/>
      <w:bookmarkStart w:id="97" w:name="_Toc143"/>
      <w:r>
        <w:rPr>
          <w:rFonts w:hint="eastAsia" w:ascii="宋体" w:hAnsi="宋体" w:eastAsia="宋体" w:cs="宋体"/>
          <w:color w:val="auto"/>
          <w:w w:val="100"/>
          <w:kern w:val="32"/>
        </w:rPr>
        <w:t>2 招标文件</w:t>
      </w:r>
      <w:bookmarkEnd w:id="92"/>
      <w:bookmarkEnd w:id="93"/>
      <w:bookmarkEnd w:id="94"/>
      <w:bookmarkEnd w:id="95"/>
      <w:bookmarkEnd w:id="96"/>
      <w:bookmarkEnd w:id="97"/>
    </w:p>
    <w:p w14:paraId="7A2CF84D">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2.1招标文件的组成</w:t>
      </w:r>
    </w:p>
    <w:p w14:paraId="2D2B1BBF">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本招标文件包括：</w:t>
      </w:r>
    </w:p>
    <w:p w14:paraId="400E54EC">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（1）招标公告；</w:t>
      </w:r>
    </w:p>
    <w:p w14:paraId="1A49E0CF">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（2）投标人须知；</w:t>
      </w:r>
    </w:p>
    <w:p w14:paraId="01C6C43F">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（3）项目相关情况说明及要求；</w:t>
      </w:r>
    </w:p>
    <w:p w14:paraId="289926A9">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（4）合同格式；</w:t>
      </w:r>
    </w:p>
    <w:p w14:paraId="5135AE99">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（5）投标文件格式；</w:t>
      </w:r>
    </w:p>
    <w:p w14:paraId="42632D44">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（6）评标办法。</w:t>
      </w:r>
    </w:p>
    <w:p w14:paraId="03751BA6">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lang w:val="zh-TW"/>
        </w:rPr>
        <w:t>根据本章第</w:t>
      </w:r>
      <w:r>
        <w:rPr>
          <w:rFonts w:hint="eastAsia" w:ascii="宋体" w:hAnsi="宋体" w:eastAsia="宋体" w:cs="宋体"/>
          <w:color w:val="auto"/>
          <w:sz w:val="24"/>
        </w:rPr>
        <w:t>1.10</w:t>
      </w:r>
      <w:r>
        <w:rPr>
          <w:rFonts w:hint="eastAsia" w:ascii="宋体" w:hAnsi="宋体" w:eastAsia="宋体" w:cs="宋体"/>
          <w:color w:val="auto"/>
          <w:sz w:val="24"/>
          <w:lang w:val="zh-TW"/>
        </w:rPr>
        <w:t>款、第</w:t>
      </w:r>
      <w:r>
        <w:rPr>
          <w:rFonts w:hint="eastAsia" w:ascii="宋体" w:hAnsi="宋体" w:eastAsia="宋体" w:cs="宋体"/>
          <w:color w:val="auto"/>
          <w:sz w:val="24"/>
        </w:rPr>
        <w:t>2.2</w:t>
      </w:r>
      <w:r>
        <w:rPr>
          <w:rFonts w:hint="eastAsia" w:ascii="宋体" w:hAnsi="宋体" w:eastAsia="宋体" w:cs="宋体"/>
          <w:color w:val="auto"/>
          <w:sz w:val="24"/>
          <w:lang w:val="zh-TW"/>
        </w:rPr>
        <w:t>款和第</w:t>
      </w:r>
      <w:r>
        <w:rPr>
          <w:rFonts w:hint="eastAsia" w:ascii="宋体" w:hAnsi="宋体" w:eastAsia="宋体" w:cs="宋体"/>
          <w:color w:val="auto"/>
          <w:sz w:val="24"/>
        </w:rPr>
        <w:t>2.3</w:t>
      </w:r>
      <w:r>
        <w:rPr>
          <w:rFonts w:hint="eastAsia" w:ascii="宋体" w:hAnsi="宋体" w:eastAsia="宋体" w:cs="宋体"/>
          <w:color w:val="auto"/>
          <w:sz w:val="24"/>
          <w:lang w:val="zh-TW"/>
        </w:rPr>
        <w:t>款对招标文件所作的澄清、修改，构成招标文件的组成部分。</w:t>
      </w:r>
    </w:p>
    <w:p w14:paraId="78F89D22">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2.2招标文件的澄清</w:t>
      </w:r>
    </w:p>
    <w:p w14:paraId="493F24FA">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2.2.1</w:t>
      </w:r>
      <w:r>
        <w:rPr>
          <w:rFonts w:hint="eastAsia" w:ascii="宋体" w:hAnsi="宋体" w:eastAsia="宋体" w:cs="宋体"/>
          <w:color w:val="auto"/>
          <w:sz w:val="24"/>
          <w:lang w:val="zh-TW"/>
        </w:rPr>
        <w:t>投标人应仔细阅读和检查招标文件的全部内容。如发现缺页或附件不全，应在招标公告规定的时间前及规定的方式向招标人提出，以便补齐。否则，由此引起的损失由投标人自己承担。投标人同时应认真审阅招标文件中所有的事项、格式、条款和规范要求等，若投标人的投标文件没有按招标文件要求提交全部资料，或投标文件没有对招标文件做出实质性响应，其风险由投标人自行承担，</w:t>
      </w:r>
      <w:r>
        <w:rPr>
          <w:rFonts w:hint="eastAsia" w:ascii="宋体" w:hAnsi="宋体" w:eastAsia="宋体" w:cs="宋体"/>
          <w:bCs/>
          <w:color w:val="auto"/>
          <w:sz w:val="24"/>
        </w:rPr>
        <w:t>并根据有关条款规定</w:t>
      </w:r>
      <w:r>
        <w:rPr>
          <w:rFonts w:hint="eastAsia" w:ascii="宋体" w:hAnsi="宋体" w:eastAsia="宋体" w:cs="宋体"/>
          <w:color w:val="auto"/>
          <w:sz w:val="24"/>
          <w:lang w:val="zh-TW"/>
        </w:rPr>
        <w:t>，该投标有可能被拒绝。如有疑问，应在招标公告规定的时间前及规定的方式提出，要求招标人对招标文件予以澄清。</w:t>
      </w:r>
    </w:p>
    <w:p w14:paraId="51998E17">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2.2.2招标文件的澄清将在投标截止时间15日前在</w:t>
      </w:r>
      <w:r>
        <w:rPr>
          <w:rFonts w:hint="eastAsia" w:ascii="宋体" w:hAnsi="宋体" w:eastAsia="宋体" w:cs="宋体"/>
          <w:color w:val="auto"/>
          <w:sz w:val="24"/>
          <w:lang w:eastAsia="zh-CN"/>
        </w:rPr>
        <w:t>招标公告指定媒体</w:t>
      </w:r>
      <w:r>
        <w:rPr>
          <w:rFonts w:hint="eastAsia" w:ascii="宋体" w:hAnsi="宋体" w:eastAsia="宋体" w:cs="宋体"/>
          <w:color w:val="auto"/>
          <w:sz w:val="24"/>
        </w:rPr>
        <w:t>上发布澄清文件，但不指明澄清问题的来源，敬请获得招标文件的所有投标人关注，恕不另行通知，如有遗漏招标人概不负责。</w:t>
      </w:r>
      <w:r>
        <w:rPr>
          <w:rFonts w:hint="eastAsia" w:ascii="宋体" w:hAnsi="宋体" w:eastAsia="宋体" w:cs="宋体"/>
          <w:color w:val="auto"/>
          <w:sz w:val="24"/>
          <w:lang w:val="zh-TW"/>
        </w:rPr>
        <w:t>如果澄清发出的时间距投标截止时间不足</w:t>
      </w:r>
      <w:r>
        <w:rPr>
          <w:rFonts w:hint="eastAsia" w:ascii="宋体" w:hAnsi="宋体" w:eastAsia="宋体" w:cs="宋体"/>
          <w:color w:val="auto"/>
          <w:sz w:val="24"/>
        </w:rPr>
        <w:t>15</w:t>
      </w:r>
      <w:r>
        <w:rPr>
          <w:rFonts w:hint="eastAsia" w:ascii="宋体" w:hAnsi="宋体" w:eastAsia="宋体" w:cs="宋体"/>
          <w:color w:val="auto"/>
          <w:sz w:val="24"/>
          <w:lang w:val="zh-TW"/>
        </w:rPr>
        <w:t>日，且澄清内容影响投标文件编制的，相应延长投标截止时间。</w:t>
      </w:r>
    </w:p>
    <w:p w14:paraId="0BD13925">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2.3招标文件的修改</w:t>
      </w:r>
    </w:p>
    <w:p w14:paraId="25B52718">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2.3.1在投标截止时间15日前，招标人可以修改招标文件，并在</w:t>
      </w:r>
      <w:r>
        <w:rPr>
          <w:rFonts w:hint="eastAsia" w:ascii="宋体" w:hAnsi="宋体" w:eastAsia="宋体" w:cs="宋体"/>
          <w:color w:val="auto"/>
          <w:sz w:val="24"/>
          <w:lang w:eastAsia="zh-CN"/>
        </w:rPr>
        <w:t>招标公告指定媒体</w:t>
      </w:r>
      <w:r>
        <w:rPr>
          <w:rFonts w:hint="eastAsia" w:ascii="宋体" w:hAnsi="宋体" w:eastAsia="宋体" w:cs="宋体"/>
          <w:color w:val="auto"/>
          <w:sz w:val="24"/>
        </w:rPr>
        <w:t>上发布修改文件，敬请获得招标文件的所有投标人关注，恕不另行通知，如有遗漏招标人概不负责。</w:t>
      </w:r>
      <w:r>
        <w:rPr>
          <w:rFonts w:hint="eastAsia" w:ascii="宋体" w:hAnsi="宋体" w:eastAsia="宋体" w:cs="宋体"/>
          <w:color w:val="auto"/>
          <w:sz w:val="24"/>
          <w:lang w:val="zh-TW"/>
        </w:rPr>
        <w:t>如果修改招标文件的时间距投标截止时间不足</w:t>
      </w:r>
      <w:r>
        <w:rPr>
          <w:rFonts w:hint="eastAsia" w:ascii="宋体" w:hAnsi="宋体" w:eastAsia="宋体" w:cs="宋体"/>
          <w:color w:val="auto"/>
          <w:sz w:val="24"/>
        </w:rPr>
        <w:t>15</w:t>
      </w:r>
      <w:r>
        <w:rPr>
          <w:rFonts w:hint="eastAsia" w:ascii="宋体" w:hAnsi="宋体" w:eastAsia="宋体" w:cs="宋体"/>
          <w:color w:val="auto"/>
          <w:sz w:val="24"/>
          <w:lang w:val="zh-TW"/>
        </w:rPr>
        <w:t>日，且修改内容影响投标文件编制的，相应延长投标截止时间。</w:t>
      </w:r>
    </w:p>
    <w:p w14:paraId="1D47B913">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2.3.2</w:t>
      </w:r>
      <w:r>
        <w:rPr>
          <w:rFonts w:hint="eastAsia" w:ascii="宋体" w:hAnsi="宋体" w:eastAsia="宋体" w:cs="宋体"/>
          <w:color w:val="auto"/>
          <w:sz w:val="24"/>
          <w:lang w:val="zh-TW"/>
        </w:rPr>
        <w:t>当招标文件、招标文件的澄清、修改、补充等在同一内容的表述上不一致时，以最后发出的备案的书面文件为准。</w:t>
      </w:r>
    </w:p>
    <w:p w14:paraId="35DA3E45">
      <w:pPr>
        <w:pStyle w:val="3"/>
        <w:numPr>
          <w:ilvl w:val="1"/>
          <w:numId w:val="0"/>
        </w:numPr>
        <w:spacing w:line="400" w:lineRule="exact"/>
        <w:jc w:val="center"/>
        <w:rPr>
          <w:rFonts w:hint="eastAsia" w:ascii="宋体" w:hAnsi="宋体" w:eastAsia="宋体" w:cs="宋体"/>
          <w:color w:val="auto"/>
          <w:w w:val="100"/>
          <w:kern w:val="32"/>
        </w:rPr>
      </w:pPr>
      <w:bookmarkStart w:id="98" w:name="_Toc22228"/>
      <w:bookmarkStart w:id="99" w:name="_Toc2329"/>
      <w:bookmarkStart w:id="100" w:name="_Toc12224"/>
      <w:bookmarkStart w:id="101" w:name="_Toc3190"/>
      <w:bookmarkStart w:id="102" w:name="_Toc16099"/>
      <w:bookmarkStart w:id="103" w:name="_Toc17689"/>
      <w:r>
        <w:rPr>
          <w:rFonts w:hint="eastAsia" w:ascii="宋体" w:hAnsi="宋体" w:eastAsia="宋体" w:cs="宋体"/>
          <w:color w:val="auto"/>
          <w:w w:val="100"/>
          <w:kern w:val="32"/>
        </w:rPr>
        <w:t>3 投标文件</w:t>
      </w:r>
      <w:bookmarkEnd w:id="98"/>
      <w:bookmarkEnd w:id="99"/>
      <w:bookmarkEnd w:id="100"/>
      <w:bookmarkEnd w:id="101"/>
      <w:bookmarkEnd w:id="102"/>
      <w:bookmarkEnd w:id="103"/>
    </w:p>
    <w:p w14:paraId="14DAE349">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3.1投标文件的组成</w:t>
      </w:r>
    </w:p>
    <w:p w14:paraId="18CE1DDF">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投标文件具体要求及编制详见第五章“投标文件格式”。</w:t>
      </w:r>
    </w:p>
    <w:p w14:paraId="328B6C37">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3.2投标报价</w:t>
      </w:r>
    </w:p>
    <w:p w14:paraId="3A7CBC69">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投标人报价应对高层电梯住宅、商业、装修垃圾清运费进行单价及</w:t>
      </w:r>
      <w:r>
        <w:rPr>
          <w:rFonts w:hint="eastAsia" w:ascii="宋体" w:hAnsi="宋体" w:cs="宋体"/>
          <w:color w:val="auto"/>
          <w:sz w:val="24"/>
          <w:lang w:val="en-US" w:eastAsia="zh-CN"/>
        </w:rPr>
        <w:t>首年</w:t>
      </w:r>
      <w:r>
        <w:rPr>
          <w:rFonts w:hint="eastAsia" w:ascii="宋体" w:hAnsi="宋体" w:eastAsia="宋体" w:cs="宋体"/>
          <w:color w:val="auto"/>
          <w:sz w:val="24"/>
          <w:lang w:val="en-US" w:eastAsia="zh-CN"/>
        </w:rPr>
        <w:t>总价报价</w:t>
      </w:r>
      <w:r>
        <w:rPr>
          <w:rFonts w:hint="eastAsia" w:ascii="宋体" w:hAnsi="宋体" w:eastAsia="宋体" w:cs="宋体"/>
          <w:color w:val="auto"/>
          <w:sz w:val="24"/>
        </w:rPr>
        <w:t>。</w:t>
      </w:r>
    </w:p>
    <w:p w14:paraId="2D501820">
      <w:pPr>
        <w:spacing w:line="400" w:lineRule="exact"/>
        <w:ind w:left="718" w:leftChars="1" w:hanging="716" w:hangingChars="297"/>
        <w:rPr>
          <w:rFonts w:hint="eastAsia" w:ascii="宋体" w:hAnsi="宋体" w:eastAsia="宋体" w:cs="宋体"/>
          <w:b/>
          <w:bCs/>
          <w:color w:val="auto"/>
          <w:sz w:val="24"/>
        </w:rPr>
      </w:pPr>
      <w:r>
        <w:rPr>
          <w:rFonts w:hint="eastAsia" w:ascii="宋体" w:hAnsi="宋体" w:eastAsia="宋体" w:cs="宋体"/>
          <w:b/>
          <w:bCs/>
          <w:color w:val="auto"/>
          <w:sz w:val="24"/>
        </w:rPr>
        <w:t>3.3投标有效期</w:t>
      </w:r>
    </w:p>
    <w:p w14:paraId="0A89EC71">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3.3.1从投标截止之日起，投标文件有效期为90天。投标有效期内，投标人不得要求撤销或修改其投标文件。</w:t>
      </w:r>
    </w:p>
    <w:p w14:paraId="64F89C26">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3.3.2特殊情况下，在投标有效期满之前，招标代理机构可要求投标人同意延长有效期，要求和答复均应以书面形式。投标人可拒绝上述要求而予以退还投标保证金。对于接受要求的投标人，既不要求也不允许其修改投标文件，有关投标保证金的规定在延长期内继续有效。</w:t>
      </w:r>
    </w:p>
    <w:p w14:paraId="05F8554F">
      <w:pPr>
        <w:spacing w:line="400" w:lineRule="exact"/>
        <w:ind w:left="718" w:leftChars="1" w:hanging="716" w:hangingChars="297"/>
        <w:rPr>
          <w:rFonts w:hint="eastAsia" w:ascii="宋体" w:hAnsi="宋体" w:eastAsia="宋体" w:cs="宋体"/>
          <w:b/>
          <w:bCs/>
          <w:color w:val="auto"/>
          <w:sz w:val="24"/>
        </w:rPr>
      </w:pPr>
      <w:r>
        <w:rPr>
          <w:rFonts w:hint="eastAsia" w:ascii="宋体" w:hAnsi="宋体" w:eastAsia="宋体" w:cs="宋体"/>
          <w:b/>
          <w:bCs/>
          <w:color w:val="auto"/>
          <w:sz w:val="24"/>
        </w:rPr>
        <w:t>3.4投标保证金</w:t>
      </w:r>
    </w:p>
    <w:p w14:paraId="5BECB7AC">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3.4.1采用承诺的形式，格式详见</w:t>
      </w:r>
      <w:r>
        <w:rPr>
          <w:rFonts w:hint="eastAsia" w:ascii="宋体" w:hAnsi="宋体" w:eastAsia="宋体" w:cs="宋体"/>
          <w:color w:val="auto"/>
          <w:sz w:val="24"/>
          <w:lang w:val="en-US" w:eastAsia="zh-CN"/>
        </w:rPr>
        <w:t>招标</w:t>
      </w:r>
      <w:r>
        <w:rPr>
          <w:rFonts w:hint="eastAsia" w:ascii="宋体" w:hAnsi="宋体" w:eastAsia="宋体" w:cs="宋体"/>
          <w:color w:val="auto"/>
          <w:sz w:val="24"/>
        </w:rPr>
        <w:t>文件；</w:t>
      </w:r>
    </w:p>
    <w:p w14:paraId="2D865AAD">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lang w:val="en-US" w:eastAsia="zh-CN"/>
        </w:rPr>
        <w:t>3.4.2</w:t>
      </w:r>
      <w:r>
        <w:rPr>
          <w:rFonts w:hint="eastAsia" w:ascii="宋体" w:hAnsi="宋体" w:eastAsia="宋体" w:cs="宋体"/>
          <w:color w:val="auto"/>
          <w:sz w:val="24"/>
        </w:rPr>
        <w:t>未按要求承诺的，资格审查委员会应否决其投标。</w:t>
      </w:r>
    </w:p>
    <w:p w14:paraId="6A0D5E59">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3.5资格审查</w:t>
      </w:r>
    </w:p>
    <w:p w14:paraId="4E4A5FBC">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lang w:val="en-US" w:eastAsia="zh-CN"/>
        </w:rPr>
        <w:t>3.5.1</w:t>
      </w:r>
      <w:r>
        <w:rPr>
          <w:rFonts w:hint="eastAsia" w:ascii="宋体" w:hAnsi="宋体" w:eastAsia="宋体" w:cs="宋体"/>
          <w:color w:val="auto"/>
          <w:sz w:val="24"/>
        </w:rPr>
        <w:t>具有独立法人资格并依法取得企业营业执照，营业执照处于有效期内；</w:t>
      </w:r>
    </w:p>
    <w:p w14:paraId="3631C778">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3.</w:t>
      </w:r>
      <w:r>
        <w:rPr>
          <w:rFonts w:hint="eastAsia" w:ascii="宋体" w:hAnsi="宋体" w:eastAsia="宋体" w:cs="宋体"/>
          <w:color w:val="auto"/>
          <w:sz w:val="24"/>
          <w:lang w:val="en-US" w:eastAsia="zh-CN"/>
        </w:rPr>
        <w:t>5.2</w:t>
      </w:r>
      <w:r>
        <w:rPr>
          <w:rFonts w:hint="eastAsia" w:ascii="宋体" w:hAnsi="宋体" w:eastAsia="宋体" w:cs="宋体"/>
          <w:color w:val="auto"/>
          <w:sz w:val="24"/>
        </w:rPr>
        <w:t xml:space="preserve">与投标人存在利害关系可能影响招标公正性的法人、其他组织或者个人，不得参加投标。单位负责人为同一人或者存在控股、管理关系的不同单位，不得参加同一标段投标或者未划分标段的同一招标项目投标。 </w:t>
      </w:r>
    </w:p>
    <w:p w14:paraId="0CBF7432">
      <w:pPr>
        <w:tabs>
          <w:tab w:val="left" w:pos="7920"/>
        </w:tabs>
        <w:spacing w:line="500" w:lineRule="exact"/>
        <w:ind w:right="15" w:rightChars="7" w:firstLine="480"/>
        <w:rPr>
          <w:rFonts w:hint="eastAsia" w:ascii="宋体" w:hAnsi="宋体" w:eastAsia="宋体" w:cs="宋体"/>
          <w:color w:val="auto"/>
          <w:sz w:val="24"/>
          <w:highlight w:val="none"/>
        </w:rPr>
      </w:pPr>
      <w:r>
        <w:rPr>
          <w:rFonts w:hint="eastAsia" w:ascii="宋体" w:hAnsi="宋体" w:eastAsia="宋体" w:cs="宋体"/>
          <w:color w:val="auto"/>
          <w:sz w:val="24"/>
        </w:rPr>
        <w:t>3.</w:t>
      </w:r>
      <w:r>
        <w:rPr>
          <w:rFonts w:hint="eastAsia" w:ascii="宋体" w:hAnsi="宋体" w:eastAsia="宋体" w:cs="宋体"/>
          <w:color w:val="auto"/>
          <w:sz w:val="24"/>
          <w:highlight w:val="none"/>
          <w:lang w:val="en-US" w:eastAsia="zh-CN"/>
        </w:rPr>
        <w:t>5.3</w:t>
      </w:r>
      <w:r>
        <w:rPr>
          <w:rFonts w:hint="eastAsia" w:ascii="宋体" w:hAnsi="宋体" w:eastAsia="宋体" w:cs="宋体"/>
          <w:color w:val="auto"/>
          <w:sz w:val="24"/>
          <w:highlight w:val="none"/>
        </w:rPr>
        <w:t>本次投标 不接受 联合体形式；</w:t>
      </w:r>
    </w:p>
    <w:p w14:paraId="0117A92E">
      <w:pPr>
        <w:keepNext w:val="0"/>
        <w:keepLines w:val="0"/>
        <w:pageBreakBefore w:val="0"/>
        <w:tabs>
          <w:tab w:val="left" w:pos="7920"/>
        </w:tabs>
        <w:kinsoku/>
        <w:wordWrap/>
        <w:overflowPunct/>
        <w:topLinePunct w:val="0"/>
        <w:autoSpaceDE/>
        <w:autoSpaceDN/>
        <w:bidi w:val="0"/>
        <w:adjustRightInd/>
        <w:snapToGrid/>
        <w:spacing w:line="500" w:lineRule="exact"/>
        <w:ind w:right="15" w:rightChars="7" w:firstLine="480" w:firstLineChars="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3.5.4类似业绩资格要求；</w:t>
      </w:r>
    </w:p>
    <w:p w14:paraId="20771AA5">
      <w:pPr>
        <w:keepNext w:val="0"/>
        <w:keepLines w:val="0"/>
        <w:pageBreakBefore w:val="0"/>
        <w:tabs>
          <w:tab w:val="left" w:pos="7920"/>
        </w:tabs>
        <w:kinsoku/>
        <w:wordWrap/>
        <w:overflowPunct/>
        <w:topLinePunct w:val="0"/>
        <w:autoSpaceDE/>
        <w:autoSpaceDN/>
        <w:bidi w:val="0"/>
        <w:adjustRightInd/>
        <w:snapToGrid/>
        <w:spacing w:line="500" w:lineRule="exact"/>
        <w:ind w:right="15" w:rightChars="7" w:firstLine="480" w:firstLineChars="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3.5.4.1投标人具有1个物业服务项目类似业绩；</w:t>
      </w:r>
    </w:p>
    <w:p w14:paraId="1D4A919B">
      <w:pPr>
        <w:tabs>
          <w:tab w:val="left" w:pos="7920"/>
        </w:tabs>
        <w:spacing w:line="500" w:lineRule="exact"/>
        <w:ind w:right="15" w:rightChars="7"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3.5.4.2业绩资料要求：提供合同复印件、合同项目物业服务中心现场照片及客服固定电话；所提供合同须包含保安、保洁、工程维修、客户服务等其中至少两项服务，投标人提供的关键页面中未能显示提供包含服务内容的为无效业绩。</w:t>
      </w:r>
    </w:p>
    <w:p w14:paraId="25428337">
      <w:pPr>
        <w:tabs>
          <w:tab w:val="left" w:pos="7920"/>
        </w:tabs>
        <w:spacing w:line="500" w:lineRule="exact"/>
        <w:ind w:right="15" w:rightChars="7"/>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3.6备选投标方案</w:t>
      </w:r>
    </w:p>
    <w:p w14:paraId="36197484">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rPr>
      </w:pPr>
      <w:r>
        <w:rPr>
          <w:rFonts w:hint="eastAsia" w:ascii="宋体" w:hAnsi="宋体" w:eastAsia="宋体" w:cs="宋体"/>
          <w:color w:val="auto"/>
          <w:sz w:val="24"/>
          <w:highlight w:val="none"/>
        </w:rPr>
        <w:t>不允许投标人递交备选投标方案。</w:t>
      </w:r>
    </w:p>
    <w:p w14:paraId="39E174EB">
      <w:pPr>
        <w:tabs>
          <w:tab w:val="left" w:pos="7920"/>
        </w:tabs>
        <w:spacing w:line="500" w:lineRule="exact"/>
        <w:ind w:right="15" w:rightChars="7"/>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3.7投标文件的编制</w:t>
      </w:r>
    </w:p>
    <w:p w14:paraId="44FAA3D4">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3.7.1投标人应仔细阅读本文件的所有内容，按本文件的要求编制投标文件，并保证所提供的全部资料真实有效。</w:t>
      </w:r>
    </w:p>
    <w:p w14:paraId="2657159C">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3.7.2投标文件正本与副本应分别装订成册，并编制目录，要求胶装，不得使用活页装订，提倡双面打印。</w:t>
      </w:r>
    </w:p>
    <w:p w14:paraId="15ACFC07">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3.7.3投标文件正本一份，副本</w:t>
      </w:r>
      <w:r>
        <w:rPr>
          <w:rFonts w:hint="eastAsia" w:ascii="宋体" w:hAnsi="宋体" w:eastAsia="宋体" w:cs="宋体"/>
          <w:color w:val="auto"/>
          <w:sz w:val="24"/>
          <w:lang w:val="en-US" w:eastAsia="zh-CN"/>
        </w:rPr>
        <w:t>肆</w:t>
      </w:r>
      <w:r>
        <w:rPr>
          <w:rFonts w:hint="eastAsia" w:ascii="宋体" w:hAnsi="宋体" w:eastAsia="宋体" w:cs="宋体"/>
          <w:color w:val="auto"/>
          <w:sz w:val="24"/>
        </w:rPr>
        <w:t>份，正本和副本的封面上应清楚的标记“正本”或“副本”的字样。当副本和正本不一致时，以正本为准。</w:t>
      </w:r>
    </w:p>
    <w:p w14:paraId="2BAFC8EF">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3.7.4投标文件应用不褪色的材料书写、打印或复印，并由投标人的法定代表人或其委托代理人签字或盖单位公章。委托代理人签字的，投标文件应附法定代表人签署的授权委托书。投标文件应尽量避免涂改、行间插字或删除。如果出现上述情况，改动之处应加盖单位公章或由投标人的法定代表人或其委托代理人签字确认。</w:t>
      </w:r>
    </w:p>
    <w:p w14:paraId="11CF59A4">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3.7.5投标文件应当采用纸制书面方式，由投标人按照本招标文件指定的投标地点进行现场投标，招标代理机构不接受电报、电话、传真、邮寄等方式投标。</w:t>
      </w:r>
    </w:p>
    <w:p w14:paraId="27DC8299">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3.7.6以同一投标人名义，递交两套或以上的投标文件，其投标无效。</w:t>
      </w:r>
    </w:p>
    <w:p w14:paraId="61098FE0">
      <w:pPr>
        <w:pStyle w:val="3"/>
        <w:numPr>
          <w:ilvl w:val="1"/>
          <w:numId w:val="0"/>
        </w:numPr>
        <w:spacing w:line="400" w:lineRule="exact"/>
        <w:jc w:val="center"/>
        <w:rPr>
          <w:rFonts w:hint="eastAsia" w:ascii="宋体" w:hAnsi="宋体" w:eastAsia="宋体" w:cs="宋体"/>
          <w:color w:val="auto"/>
          <w:w w:val="100"/>
          <w:kern w:val="32"/>
        </w:rPr>
      </w:pPr>
      <w:bookmarkStart w:id="104" w:name="_Toc17605"/>
      <w:bookmarkStart w:id="105" w:name="_Toc17157"/>
      <w:bookmarkStart w:id="106" w:name="_Toc5360"/>
      <w:bookmarkStart w:id="107" w:name="_Toc343"/>
      <w:bookmarkStart w:id="108" w:name="_Toc18687"/>
      <w:bookmarkStart w:id="109" w:name="_Toc32317"/>
      <w:r>
        <w:rPr>
          <w:rFonts w:hint="eastAsia" w:ascii="宋体" w:hAnsi="宋体" w:eastAsia="宋体" w:cs="宋体"/>
          <w:color w:val="auto"/>
          <w:w w:val="100"/>
          <w:kern w:val="32"/>
        </w:rPr>
        <w:t>4 投标</w:t>
      </w:r>
      <w:bookmarkEnd w:id="104"/>
      <w:bookmarkEnd w:id="105"/>
      <w:bookmarkEnd w:id="106"/>
      <w:bookmarkEnd w:id="107"/>
      <w:bookmarkEnd w:id="108"/>
      <w:bookmarkEnd w:id="109"/>
    </w:p>
    <w:p w14:paraId="5867FC30">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4.1投标文件的密封和标识</w:t>
      </w:r>
    </w:p>
    <w:p w14:paraId="2260B7A4">
      <w:pPr>
        <w:tabs>
          <w:tab w:val="left" w:pos="7920"/>
        </w:tabs>
        <w:spacing w:line="500" w:lineRule="exact"/>
        <w:ind w:right="15" w:rightChars="7" w:firstLine="480"/>
        <w:rPr>
          <w:rFonts w:hint="eastAsia" w:ascii="宋体" w:hAnsi="宋体" w:eastAsia="宋体" w:cs="宋体"/>
          <w:color w:val="auto"/>
          <w:sz w:val="24"/>
        </w:rPr>
      </w:pPr>
      <w:r>
        <w:rPr>
          <w:rFonts w:hint="eastAsia" w:ascii="宋体" w:hAnsi="宋体" w:eastAsia="宋体" w:cs="宋体"/>
          <w:color w:val="auto"/>
          <w:sz w:val="24"/>
        </w:rPr>
        <w:t>4.1.1投标文件的密封：投标人应将投标文件密封后提交。</w:t>
      </w:r>
    </w:p>
    <w:p w14:paraId="177A4537">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4.1.2投标文件的标识：投标文件应包装后加贴封条，并在封套的封口处加盖投标人单位公章。投标文件的封套上至少要写明以下内容：</w:t>
      </w:r>
    </w:p>
    <w:p w14:paraId="0E0BCB3E">
      <w:pPr>
        <w:tabs>
          <w:tab w:val="left" w:pos="7920"/>
        </w:tabs>
        <w:spacing w:line="500" w:lineRule="exact"/>
        <w:ind w:left="-94" w:leftChars="-45" w:right="15" w:rightChars="7" w:firstLine="576" w:firstLineChars="240"/>
        <w:rPr>
          <w:rFonts w:hint="eastAsia" w:ascii="宋体" w:hAnsi="宋体" w:eastAsia="宋体" w:cs="宋体"/>
          <w:color w:val="auto"/>
          <w:sz w:val="24"/>
          <w:u w:val="single"/>
        </w:rPr>
      </w:pPr>
      <w:r>
        <w:rPr>
          <w:rFonts w:hint="eastAsia" w:ascii="宋体" w:hAnsi="宋体" w:eastAsia="宋体" w:cs="宋体"/>
          <w:color w:val="auto"/>
          <w:sz w:val="24"/>
        </w:rPr>
        <w:t>招标人名称：</w:t>
      </w:r>
      <w:bookmarkStart w:id="110" w:name="S_2_042"/>
      <w:r>
        <w:rPr>
          <w:rFonts w:hint="eastAsia" w:ascii="宋体" w:hAnsi="宋体" w:eastAsia="宋体" w:cs="宋体"/>
          <w:color w:val="auto"/>
          <w:sz w:val="24"/>
          <w:u w:val="single"/>
        </w:rPr>
        <w:t xml:space="preserve">                        </w:t>
      </w:r>
      <w:bookmarkEnd w:id="110"/>
    </w:p>
    <w:p w14:paraId="753696AF">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投标人全称：</w:t>
      </w:r>
      <w:bookmarkStart w:id="111" w:name="S_2_043"/>
      <w:r>
        <w:rPr>
          <w:rFonts w:hint="eastAsia" w:ascii="宋体" w:hAnsi="宋体" w:eastAsia="宋体" w:cs="宋体"/>
          <w:color w:val="auto"/>
          <w:sz w:val="24"/>
          <w:u w:val="single"/>
        </w:rPr>
        <w:t xml:space="preserve">                      </w:t>
      </w:r>
      <w:bookmarkEnd w:id="111"/>
    </w:p>
    <w:p w14:paraId="70371C45">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投标人的地址：</w:t>
      </w:r>
      <w:bookmarkStart w:id="112" w:name="S_2_044"/>
      <w:r>
        <w:rPr>
          <w:rFonts w:hint="eastAsia" w:ascii="宋体" w:hAnsi="宋体" w:eastAsia="宋体" w:cs="宋体"/>
          <w:color w:val="auto"/>
          <w:sz w:val="24"/>
          <w:u w:val="single"/>
        </w:rPr>
        <w:t xml:space="preserve">                    </w:t>
      </w:r>
      <w:bookmarkEnd w:id="112"/>
    </w:p>
    <w:p w14:paraId="01AFD687">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u w:val="single"/>
        </w:rPr>
        <w:t xml:space="preserve">（项目名称）   </w:t>
      </w:r>
      <w:r>
        <w:rPr>
          <w:rFonts w:hint="eastAsia" w:ascii="宋体" w:hAnsi="宋体" w:eastAsia="宋体" w:cs="宋体"/>
          <w:color w:val="auto"/>
          <w:sz w:val="24"/>
        </w:rPr>
        <w:t>投标文件在</w:t>
      </w:r>
      <w:r>
        <w:rPr>
          <w:rFonts w:hint="eastAsia" w:ascii="宋体" w:hAnsi="宋体" w:eastAsia="宋体" w:cs="宋体"/>
          <w:color w:val="auto"/>
          <w:sz w:val="24"/>
          <w:u w:val="single"/>
        </w:rPr>
        <w:t xml:space="preserve">               </w:t>
      </w:r>
      <w:r>
        <w:rPr>
          <w:rFonts w:hint="eastAsia" w:ascii="宋体" w:hAnsi="宋体" w:eastAsia="宋体" w:cs="宋体"/>
          <w:color w:val="auto"/>
          <w:sz w:val="24"/>
        </w:rPr>
        <w:t>（投标截止时间）前不得开启</w:t>
      </w:r>
    </w:p>
    <w:p w14:paraId="501114A0">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4.1.3未按本章第4.1.1项要求密封的投标文件，招标人不予受理。未按本章第4.1.2项要求加写标记的投标文件，招标人将不承担投标文件提前开封的责任。</w:t>
      </w:r>
    </w:p>
    <w:p w14:paraId="7606E652">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4.2投标文件的递交</w:t>
      </w:r>
    </w:p>
    <w:p w14:paraId="4EAA314B">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4.2.1</w:t>
      </w:r>
      <w:r>
        <w:rPr>
          <w:rFonts w:hint="eastAsia" w:ascii="宋体" w:hAnsi="宋体" w:eastAsia="宋体" w:cs="宋体"/>
          <w:color w:val="auto"/>
          <w:sz w:val="24"/>
          <w:lang w:val="zh-TW"/>
        </w:rPr>
        <w:t>投标人应在招标公告规定的投标截止时间前递交投标文件。资格审查资料原件待评标结束后退还。</w:t>
      </w:r>
    </w:p>
    <w:p w14:paraId="2D05C2EA">
      <w:pPr>
        <w:tabs>
          <w:tab w:val="left" w:pos="7920"/>
        </w:tabs>
        <w:spacing w:line="500" w:lineRule="exact"/>
        <w:ind w:left="-94" w:leftChars="-45" w:right="15" w:rightChars="7" w:firstLine="576" w:firstLineChars="240"/>
        <w:rPr>
          <w:rFonts w:hint="eastAsia" w:ascii="宋体" w:hAnsi="宋体" w:eastAsia="宋体" w:cs="宋体"/>
          <w:color w:val="auto"/>
          <w:sz w:val="24"/>
        </w:rPr>
      </w:pPr>
      <w:bookmarkStart w:id="113" w:name="_Hlt232501854"/>
      <w:bookmarkEnd w:id="113"/>
      <w:r>
        <w:rPr>
          <w:rFonts w:hint="eastAsia" w:ascii="宋体" w:hAnsi="宋体" w:eastAsia="宋体" w:cs="宋体"/>
          <w:color w:val="auto"/>
          <w:sz w:val="24"/>
        </w:rPr>
        <w:t>4.2.2投标人递交投标文件的地点：见招标公告。</w:t>
      </w:r>
    </w:p>
    <w:p w14:paraId="19842D17">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4.2.3除招标文件另有规定外，投标人所递交的投标文件不予退还。</w:t>
      </w:r>
    </w:p>
    <w:p w14:paraId="1116290A">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4.2.4</w:t>
      </w:r>
      <w:r>
        <w:rPr>
          <w:rFonts w:hint="eastAsia" w:ascii="宋体" w:hAnsi="宋体" w:eastAsia="宋体" w:cs="宋体"/>
          <w:color w:val="auto"/>
          <w:sz w:val="24"/>
          <w:lang w:val="zh-TW"/>
        </w:rPr>
        <w:t>逾期送达的或者未送达指定地点的或未按要求密封的投标文件，招标人不予受理。</w:t>
      </w:r>
    </w:p>
    <w:p w14:paraId="6172A7F8">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4.3投标文件的修改与撤回</w:t>
      </w:r>
    </w:p>
    <w:p w14:paraId="092AF72A">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4.3.1在招标公告规定的投标截止时间前，投标人可以修改或撤回已递交的投标文件，但应以书面形式通知招标人。</w:t>
      </w:r>
    </w:p>
    <w:p w14:paraId="339B8E38">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4.3.2投标人修改或撤回已递交投标文件的书面通知应按照本章第3.7.4项的要求签字或盖章。招标人收到书面通知后，向投标人出具签收凭证。</w:t>
      </w:r>
    </w:p>
    <w:p w14:paraId="1D5D5D1B">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4.3.3修改的内容为投标文件的组成部分。修改的投标文件应按照本章第3条、第4条规定进行编制、密封、标记和递交，并标明“修改”字样。</w:t>
      </w:r>
    </w:p>
    <w:p w14:paraId="6ED80375">
      <w:pPr>
        <w:pStyle w:val="3"/>
        <w:numPr>
          <w:ilvl w:val="1"/>
          <w:numId w:val="0"/>
        </w:numPr>
        <w:spacing w:line="400" w:lineRule="exact"/>
        <w:jc w:val="center"/>
        <w:rPr>
          <w:rFonts w:hint="eastAsia" w:ascii="宋体" w:hAnsi="宋体" w:eastAsia="宋体" w:cs="宋体"/>
          <w:color w:val="auto"/>
          <w:w w:val="100"/>
          <w:kern w:val="32"/>
        </w:rPr>
      </w:pPr>
      <w:bookmarkStart w:id="114" w:name="_Toc318840499"/>
      <w:bookmarkStart w:id="115" w:name="_Toc321052826"/>
      <w:bookmarkStart w:id="116" w:name="_Toc9208"/>
      <w:bookmarkStart w:id="117" w:name="_Toc27209"/>
      <w:bookmarkStart w:id="118" w:name="_Toc8855"/>
      <w:bookmarkStart w:id="119" w:name="_Toc5156"/>
      <w:bookmarkStart w:id="120" w:name="_Toc13263"/>
      <w:bookmarkStart w:id="121" w:name="_Toc26803"/>
      <w:bookmarkStart w:id="122" w:name="_Toc321052825"/>
      <w:bookmarkStart w:id="123" w:name="_Toc318840498"/>
      <w:r>
        <w:rPr>
          <w:rFonts w:hint="eastAsia" w:ascii="宋体" w:hAnsi="宋体" w:eastAsia="宋体" w:cs="宋体"/>
          <w:color w:val="auto"/>
          <w:w w:val="100"/>
          <w:kern w:val="32"/>
        </w:rPr>
        <w:t>5 开标</w:t>
      </w:r>
      <w:bookmarkEnd w:id="114"/>
      <w:bookmarkEnd w:id="115"/>
      <w:r>
        <w:rPr>
          <w:rFonts w:hint="eastAsia" w:ascii="宋体" w:hAnsi="宋体" w:eastAsia="宋体" w:cs="宋体"/>
          <w:color w:val="auto"/>
          <w:w w:val="100"/>
          <w:kern w:val="32"/>
        </w:rPr>
        <w:t>及资格后审</w:t>
      </w:r>
      <w:bookmarkEnd w:id="116"/>
      <w:bookmarkEnd w:id="117"/>
      <w:bookmarkEnd w:id="118"/>
      <w:bookmarkEnd w:id="119"/>
      <w:bookmarkEnd w:id="120"/>
      <w:bookmarkEnd w:id="121"/>
    </w:p>
    <w:p w14:paraId="43B285AA">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5.1开标时间和地点</w:t>
      </w:r>
    </w:p>
    <w:p w14:paraId="02BF3AC5">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招标人在投标人须知第4.2.1条规定的投标截止时间（开标时间）和投标人须知第4.2.2条规定的地点公开开标，召开开标会议时，投标人必须派法定代表人持法定代表人证明身份原件和本人身份证原件（或其授权委托代理人持授权委托书原件、本人身份证原件）、投标文件准时参加。</w:t>
      </w:r>
    </w:p>
    <w:p w14:paraId="4A2102A8">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5.2投标文件有下列情形之一的，招标人不予受理：</w:t>
      </w:r>
    </w:p>
    <w:p w14:paraId="2BC021EC">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5.2.1逾期送达的或者未送达指定地点的；</w:t>
      </w:r>
    </w:p>
    <w:p w14:paraId="3731CA98">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5.2.2未按招标文件要求密封的。</w:t>
      </w:r>
    </w:p>
    <w:p w14:paraId="2F99E0F5">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5.3开标程序</w:t>
      </w:r>
    </w:p>
    <w:p w14:paraId="08ACE40A">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5.3.1宣布开标纪律；</w:t>
      </w:r>
    </w:p>
    <w:p w14:paraId="0BD0A605">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5.3.2公布在投标截止时间前递交投标文件的投标人名称，并点名确认投标人是否派人到场；</w:t>
      </w:r>
    </w:p>
    <w:p w14:paraId="1F610E35">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5.3.3宣布开标人、唱标人、记录人、监督人等有关人员名单；</w:t>
      </w:r>
    </w:p>
    <w:p w14:paraId="0718410D">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5.3.4核验各投标人代表的合法身份（法定代表人身份证明书或授权委托书原件及本人身份证原件；</w:t>
      </w:r>
    </w:p>
    <w:p w14:paraId="454F3823">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5.3.5由投标人代表检查投标文件的密封情况；</w:t>
      </w:r>
    </w:p>
    <w:p w14:paraId="70A96DD1">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5.3.6按照宣布的开标顺序当众开标，公布投标人名称，投标保证金的递交情况、投标价格等其他内容，并记录在案；</w:t>
      </w:r>
    </w:p>
    <w:p w14:paraId="11A3DB19">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5.3.7开标时，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14:paraId="070D5115">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5.3.8投标人代表、招标人代表、监督人、记录人等有关人员在开标记录上签字确认； 并将开标时相关资料密封后交评标委员会；</w:t>
      </w:r>
    </w:p>
    <w:p w14:paraId="33CC2B48">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5.3.9开标结束。</w:t>
      </w:r>
    </w:p>
    <w:p w14:paraId="12C7C771">
      <w:pPr>
        <w:tabs>
          <w:tab w:val="left" w:pos="7920"/>
        </w:tabs>
        <w:spacing w:line="500" w:lineRule="exact"/>
        <w:ind w:right="15" w:rightChars="7"/>
        <w:rPr>
          <w:rFonts w:hint="eastAsia" w:ascii="宋体" w:hAnsi="宋体" w:eastAsia="宋体" w:cs="宋体"/>
          <w:b/>
          <w:color w:val="auto"/>
          <w:sz w:val="24"/>
        </w:rPr>
      </w:pPr>
      <w:bookmarkStart w:id="124" w:name="_Toc419379763"/>
      <w:bookmarkStart w:id="125" w:name="_Toc418174784"/>
      <w:r>
        <w:rPr>
          <w:rFonts w:hint="eastAsia" w:ascii="宋体" w:hAnsi="宋体" w:eastAsia="宋体" w:cs="宋体"/>
          <w:b/>
          <w:color w:val="auto"/>
          <w:sz w:val="24"/>
        </w:rPr>
        <w:t>5.4资格后审程序</w:t>
      </w:r>
      <w:bookmarkEnd w:id="124"/>
      <w:bookmarkEnd w:id="125"/>
    </w:p>
    <w:p w14:paraId="024BB0DD">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5.4.1 审查投标单位法定代表人或其授权委托代理人是否参加资格审查。</w:t>
      </w:r>
    </w:p>
    <w:p w14:paraId="7EB97323">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5.4.2 由投标人的法定代表人（或其授权委托代理人）到资格后审现场提交。</w:t>
      </w:r>
    </w:p>
    <w:p w14:paraId="15B5548E">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5.4.3 评标委员会按招标文件规定对投标单位资格审查资料进行审查，确定合格投标人或不合格投标人名单。</w:t>
      </w:r>
    </w:p>
    <w:p w14:paraId="76AF7239">
      <w:pPr>
        <w:pStyle w:val="3"/>
        <w:numPr>
          <w:ilvl w:val="1"/>
          <w:numId w:val="0"/>
        </w:numPr>
        <w:spacing w:line="400" w:lineRule="exact"/>
        <w:jc w:val="center"/>
        <w:rPr>
          <w:rFonts w:hint="eastAsia" w:ascii="宋体" w:hAnsi="宋体" w:eastAsia="宋体" w:cs="宋体"/>
          <w:color w:val="auto"/>
          <w:w w:val="100"/>
          <w:kern w:val="32"/>
        </w:rPr>
      </w:pPr>
      <w:bookmarkStart w:id="126" w:name="_Toc6630"/>
      <w:bookmarkStart w:id="127" w:name="_Toc18256"/>
      <w:bookmarkStart w:id="128" w:name="_Toc25750"/>
      <w:bookmarkStart w:id="129" w:name="_Toc5639"/>
      <w:bookmarkStart w:id="130" w:name="_Toc9134"/>
      <w:bookmarkStart w:id="131" w:name="_Toc9883"/>
      <w:r>
        <w:rPr>
          <w:rFonts w:hint="eastAsia" w:ascii="宋体" w:hAnsi="宋体" w:eastAsia="宋体" w:cs="宋体"/>
          <w:color w:val="auto"/>
          <w:w w:val="100"/>
          <w:kern w:val="32"/>
        </w:rPr>
        <w:t>6 评标</w:t>
      </w:r>
      <w:bookmarkEnd w:id="126"/>
      <w:bookmarkEnd w:id="127"/>
      <w:bookmarkEnd w:id="128"/>
      <w:bookmarkEnd w:id="129"/>
      <w:bookmarkEnd w:id="130"/>
      <w:bookmarkEnd w:id="131"/>
    </w:p>
    <w:p w14:paraId="370062E8">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6.1评标委员会的组成</w:t>
      </w:r>
    </w:p>
    <w:p w14:paraId="2B33DE95">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6.1.1本项目评标委员会由</w:t>
      </w:r>
      <w:r>
        <w:rPr>
          <w:rFonts w:hint="eastAsia" w:ascii="宋体" w:hAnsi="宋体" w:eastAsia="宋体" w:cs="宋体"/>
          <w:color w:val="auto"/>
          <w:sz w:val="24"/>
          <w:lang w:val="en-US" w:eastAsia="zh-CN"/>
        </w:rPr>
        <w:t>技术、经济</w:t>
      </w:r>
      <w:r>
        <w:rPr>
          <w:rFonts w:hint="eastAsia" w:ascii="宋体" w:hAnsi="宋体" w:eastAsia="宋体" w:cs="宋体"/>
          <w:color w:val="auto"/>
          <w:sz w:val="24"/>
        </w:rPr>
        <w:t>专家5人组成。</w:t>
      </w:r>
    </w:p>
    <w:p w14:paraId="7A933FE3">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6.1.2评标委员会成员有下列情形之一的，应当回避：</w:t>
      </w:r>
    </w:p>
    <w:p w14:paraId="2E00D119">
      <w:pPr>
        <w:tabs>
          <w:tab w:val="left" w:pos="7920"/>
        </w:tabs>
        <w:spacing w:line="500" w:lineRule="exact"/>
        <w:ind w:right="15" w:rightChars="7" w:firstLine="600" w:firstLineChars="250"/>
        <w:rPr>
          <w:rFonts w:hint="eastAsia" w:ascii="宋体" w:hAnsi="宋体" w:eastAsia="宋体" w:cs="宋体"/>
          <w:color w:val="auto"/>
          <w:sz w:val="24"/>
        </w:rPr>
      </w:pPr>
      <w:r>
        <w:rPr>
          <w:rFonts w:hint="eastAsia" w:ascii="宋体" w:hAnsi="宋体" w:eastAsia="宋体" w:cs="宋体"/>
          <w:color w:val="auto"/>
          <w:sz w:val="24"/>
        </w:rPr>
        <w:t>（一）投标人或者投标人主要负责人的近亲属；</w:t>
      </w:r>
    </w:p>
    <w:p w14:paraId="4F28674B">
      <w:pPr>
        <w:tabs>
          <w:tab w:val="left" w:pos="7920"/>
        </w:tabs>
        <w:spacing w:line="500" w:lineRule="exact"/>
        <w:ind w:right="15" w:rightChars="7" w:firstLine="600" w:firstLineChars="250"/>
        <w:rPr>
          <w:rFonts w:hint="eastAsia" w:ascii="宋体" w:hAnsi="宋体" w:eastAsia="宋体" w:cs="宋体"/>
          <w:color w:val="auto"/>
          <w:sz w:val="24"/>
        </w:rPr>
      </w:pPr>
      <w:r>
        <w:rPr>
          <w:rFonts w:hint="eastAsia" w:ascii="宋体" w:hAnsi="宋体" w:eastAsia="宋体" w:cs="宋体"/>
          <w:color w:val="auto"/>
          <w:sz w:val="24"/>
        </w:rPr>
        <w:t>（二）项目主管部门或者行政监督部门的人员；</w:t>
      </w:r>
    </w:p>
    <w:p w14:paraId="1A2CA8E0">
      <w:pPr>
        <w:tabs>
          <w:tab w:val="left" w:pos="7920"/>
        </w:tabs>
        <w:spacing w:line="500" w:lineRule="exact"/>
        <w:ind w:right="15" w:rightChars="7" w:firstLine="600" w:firstLineChars="250"/>
        <w:rPr>
          <w:rFonts w:hint="eastAsia" w:ascii="宋体" w:hAnsi="宋体" w:eastAsia="宋体" w:cs="宋体"/>
          <w:color w:val="auto"/>
          <w:sz w:val="24"/>
        </w:rPr>
      </w:pPr>
      <w:r>
        <w:rPr>
          <w:rFonts w:hint="eastAsia" w:ascii="宋体" w:hAnsi="宋体" w:eastAsia="宋体" w:cs="宋体"/>
          <w:color w:val="auto"/>
          <w:sz w:val="24"/>
        </w:rPr>
        <w:t>（三）与投标人有经济利益关系，可能影响对投标公正评审的；</w:t>
      </w:r>
    </w:p>
    <w:p w14:paraId="450EDC60">
      <w:pPr>
        <w:tabs>
          <w:tab w:val="left" w:pos="7920"/>
        </w:tabs>
        <w:spacing w:line="500" w:lineRule="exact"/>
        <w:ind w:right="15" w:rightChars="7" w:firstLine="600" w:firstLineChars="250"/>
        <w:rPr>
          <w:rFonts w:hint="eastAsia" w:ascii="宋体" w:hAnsi="宋体" w:eastAsia="宋体" w:cs="宋体"/>
          <w:color w:val="auto"/>
          <w:sz w:val="24"/>
        </w:rPr>
      </w:pPr>
      <w:r>
        <w:rPr>
          <w:rFonts w:hint="eastAsia" w:ascii="宋体" w:hAnsi="宋体" w:eastAsia="宋体" w:cs="宋体"/>
          <w:color w:val="auto"/>
          <w:sz w:val="24"/>
        </w:rPr>
        <w:t>（四）曾因在招标、评标以及其他与招标投标有关活动中从事违法行为而受过行政处罚或刑事处罚的。</w:t>
      </w:r>
    </w:p>
    <w:p w14:paraId="782C4CD0">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6.2评标原则</w:t>
      </w:r>
    </w:p>
    <w:p w14:paraId="55952F34">
      <w:pPr>
        <w:tabs>
          <w:tab w:val="left" w:pos="7920"/>
        </w:tabs>
        <w:spacing w:line="500" w:lineRule="exact"/>
        <w:ind w:right="15" w:rightChars="7" w:firstLine="360" w:firstLineChars="150"/>
        <w:rPr>
          <w:rFonts w:hint="eastAsia" w:ascii="宋体" w:hAnsi="宋体" w:eastAsia="宋体" w:cs="宋体"/>
          <w:color w:val="auto"/>
          <w:sz w:val="24"/>
        </w:rPr>
      </w:pPr>
      <w:r>
        <w:rPr>
          <w:rFonts w:hint="eastAsia" w:ascii="宋体" w:hAnsi="宋体" w:eastAsia="宋体" w:cs="宋体"/>
          <w:color w:val="auto"/>
          <w:sz w:val="24"/>
        </w:rPr>
        <w:t>评标活动遵循公平、公正、科学和择优的原则。</w:t>
      </w:r>
    </w:p>
    <w:p w14:paraId="3EF13583">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6.3评标办法</w:t>
      </w:r>
    </w:p>
    <w:p w14:paraId="30B8BDDB">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6.3.1本项目评标方法采用综合评分法，是指在最大限度地满足招标文件实质性要求前提下，按照本招标文件中规定的各项因素进行综合评审后，以评标总得分最高的投标人作为中标候选人或者中标人的评标方法。</w:t>
      </w:r>
    </w:p>
    <w:p w14:paraId="36C6929F">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6.3.2评标标准具体详见第六章。</w:t>
      </w:r>
    </w:p>
    <w:p w14:paraId="2D0832EF">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6.3.3资格后审评审内容：按招标公告和招标文件规定的“投标人资质要求”进行审查，填写资格性检查一览表。投标人根据招标公告和招标文件要求将有关证明和证件提供原件，评标委员会首先对投标人资格进行审查，确定合格投标人。投标人资格条件有一项不符合规定的，为不合格投标人，不得进入下一轮评审，不合格投标人评标委员会需作出原因说明。</w:t>
      </w:r>
    </w:p>
    <w:bookmarkEnd w:id="67"/>
    <w:bookmarkEnd w:id="122"/>
    <w:bookmarkEnd w:id="123"/>
    <w:p w14:paraId="7D9D2C17">
      <w:pPr>
        <w:pStyle w:val="3"/>
        <w:numPr>
          <w:ilvl w:val="1"/>
          <w:numId w:val="0"/>
        </w:numPr>
        <w:spacing w:line="400" w:lineRule="exact"/>
        <w:jc w:val="center"/>
        <w:rPr>
          <w:rFonts w:hint="eastAsia" w:ascii="宋体" w:hAnsi="宋体" w:eastAsia="宋体" w:cs="宋体"/>
          <w:color w:val="auto"/>
          <w:w w:val="100"/>
          <w:kern w:val="32"/>
        </w:rPr>
      </w:pPr>
      <w:bookmarkStart w:id="132" w:name="_Toc318840501"/>
      <w:bookmarkStart w:id="133" w:name="_Toc321052828"/>
      <w:bookmarkStart w:id="134" w:name="_Toc30314"/>
      <w:bookmarkStart w:id="135" w:name="_Toc7952"/>
      <w:bookmarkStart w:id="136" w:name="_Toc9845"/>
      <w:bookmarkStart w:id="137" w:name="_Toc10291"/>
      <w:bookmarkStart w:id="138" w:name="_Toc28624"/>
      <w:bookmarkStart w:id="139" w:name="_Toc932"/>
      <w:bookmarkStart w:id="140" w:name="_Toc227520433"/>
      <w:r>
        <w:rPr>
          <w:rFonts w:hint="eastAsia" w:ascii="宋体" w:hAnsi="宋体" w:eastAsia="宋体" w:cs="宋体"/>
          <w:color w:val="auto"/>
          <w:w w:val="100"/>
          <w:kern w:val="32"/>
        </w:rPr>
        <w:t xml:space="preserve">7 </w:t>
      </w:r>
      <w:bookmarkEnd w:id="132"/>
      <w:bookmarkEnd w:id="133"/>
      <w:r>
        <w:rPr>
          <w:rFonts w:hint="eastAsia" w:ascii="宋体" w:hAnsi="宋体" w:eastAsia="宋体" w:cs="宋体"/>
          <w:color w:val="auto"/>
          <w:w w:val="100"/>
          <w:kern w:val="32"/>
        </w:rPr>
        <w:t>合同授予</w:t>
      </w:r>
      <w:bookmarkEnd w:id="134"/>
      <w:bookmarkEnd w:id="135"/>
      <w:bookmarkEnd w:id="136"/>
      <w:bookmarkEnd w:id="137"/>
      <w:bookmarkEnd w:id="138"/>
      <w:bookmarkEnd w:id="139"/>
    </w:p>
    <w:p w14:paraId="381AEB72">
      <w:pPr>
        <w:spacing w:line="400" w:lineRule="exact"/>
        <w:ind w:left="2"/>
        <w:rPr>
          <w:rFonts w:hint="eastAsia" w:ascii="宋体" w:hAnsi="宋体" w:eastAsia="宋体" w:cs="宋体"/>
          <w:b/>
          <w:bCs/>
          <w:color w:val="auto"/>
          <w:sz w:val="24"/>
        </w:rPr>
      </w:pPr>
      <w:r>
        <w:rPr>
          <w:rFonts w:hint="eastAsia" w:ascii="宋体" w:hAnsi="宋体" w:eastAsia="宋体" w:cs="宋体"/>
          <w:b/>
          <w:bCs/>
          <w:color w:val="auto"/>
          <w:sz w:val="24"/>
        </w:rPr>
        <w:t>7.1.1定标及重新招标</w:t>
      </w:r>
    </w:p>
    <w:p w14:paraId="14ADE184">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7.1.1由评标委员会提交书面评标报告并推荐1-3名中标候选人，同时标明排列顺序。招标人应当在评标委员会推荐的中标候选人中确定中标人。</w:t>
      </w:r>
    </w:p>
    <w:p w14:paraId="695B7254">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7.1.2招标人应当自收到评标报告和推荐中标候选人名单之日起，在</w:t>
      </w:r>
      <w:r>
        <w:rPr>
          <w:rFonts w:hint="eastAsia" w:ascii="宋体" w:hAnsi="宋体" w:cs="宋体"/>
          <w:color w:val="auto"/>
          <w:kern w:val="0"/>
          <w:sz w:val="24"/>
          <w:highlight w:val="none"/>
          <w:lang w:eastAsia="zh-CN"/>
        </w:rPr>
        <w:t>中国招标投标公共服务平台（http：//www.cebpubservice.com/）</w:t>
      </w:r>
      <w:r>
        <w:rPr>
          <w:rFonts w:hint="eastAsia" w:ascii="宋体" w:hAnsi="宋体" w:cs="宋体"/>
          <w:color w:val="auto"/>
          <w:kern w:val="0"/>
          <w:sz w:val="24"/>
          <w:highlight w:val="none"/>
          <w:lang w:val="en-US" w:eastAsia="zh-CN"/>
        </w:rPr>
        <w:t>和</w:t>
      </w:r>
      <w:r>
        <w:rPr>
          <w:rFonts w:hint="eastAsia" w:ascii="宋体" w:hAnsi="宋体" w:cs="宋体"/>
          <w:color w:val="auto"/>
          <w:kern w:val="0"/>
          <w:sz w:val="24"/>
          <w:highlight w:val="none"/>
          <w:lang w:eastAsia="zh-CN"/>
        </w:rPr>
        <w:t>长沙市雨花城市建设投资集团公司官网（http：//www.csyhct.com/）</w:t>
      </w:r>
      <w:r>
        <w:rPr>
          <w:rFonts w:hint="eastAsia" w:ascii="宋体" w:hAnsi="宋体" w:eastAsia="宋体" w:cs="宋体"/>
          <w:color w:val="auto"/>
          <w:sz w:val="24"/>
        </w:rPr>
        <w:t>上对推荐的中标候选人进行公示，公示期为三个工作日，投标人或其他利害关系人如有异议，应当在中标候选人公示期间提出。若无异议，招标人将确定中标候选人为该项目的最终中标人。评标和定标应当在开标后三十日内完成，不能按期完成的，招标人应当通知所有投标人延长期限。投标人拒绝延长的，有权收回投标保证金，并退出候选人资格；</w:t>
      </w:r>
    </w:p>
    <w:p w14:paraId="5DA9879F">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7.1.3排名第一的中标候选人放弃中标、因不可抗力提出不能履行合同，或者未按招标文件的规定提交履约担保的，招标人可以按照评标委员会提出的中标候选人名单排序依次确定其他中标候选人为中标人，也可以重新招标。</w:t>
      </w:r>
    </w:p>
    <w:p w14:paraId="32F0C8E0">
      <w:pPr>
        <w:tabs>
          <w:tab w:val="left" w:pos="7920"/>
        </w:tabs>
        <w:spacing w:line="500" w:lineRule="exact"/>
        <w:ind w:right="15" w:rightChars="7"/>
        <w:rPr>
          <w:rFonts w:hint="eastAsia" w:ascii="宋体" w:hAnsi="宋体" w:eastAsia="宋体" w:cs="宋体"/>
          <w:b/>
          <w:color w:val="auto"/>
          <w:sz w:val="24"/>
        </w:rPr>
      </w:pPr>
      <w:r>
        <w:rPr>
          <w:rFonts w:hint="eastAsia" w:ascii="宋体" w:hAnsi="宋体" w:eastAsia="宋体" w:cs="宋体"/>
          <w:b/>
          <w:color w:val="auto"/>
          <w:sz w:val="24"/>
        </w:rPr>
        <w:t>7.2中标通知</w:t>
      </w:r>
    </w:p>
    <w:p w14:paraId="3E260AB6">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在本章第3.3款规定的投标有效期内，招标人以书面形式向中标人发出中标通知书，同时将中标结果通知未中标的投标人。</w:t>
      </w:r>
    </w:p>
    <w:p w14:paraId="1A15FCBB">
      <w:pPr>
        <w:tabs>
          <w:tab w:val="left" w:pos="7920"/>
        </w:tabs>
        <w:spacing w:line="500" w:lineRule="exact"/>
        <w:ind w:right="15" w:rightChars="7" w:firstLine="240" w:firstLineChars="100"/>
        <w:rPr>
          <w:rFonts w:hint="eastAsia" w:ascii="宋体" w:hAnsi="宋体" w:eastAsia="宋体" w:cs="宋体"/>
          <w:color w:val="auto"/>
          <w:sz w:val="24"/>
        </w:rPr>
      </w:pPr>
      <w:r>
        <w:rPr>
          <w:rFonts w:hint="eastAsia" w:ascii="宋体" w:hAnsi="宋体" w:eastAsia="宋体" w:cs="宋体"/>
          <w:color w:val="auto"/>
          <w:sz w:val="24"/>
        </w:rPr>
        <w:t>“中标通知书”是合同文件的组成部分，中标人在收到中标通知书24小时内，应当以书面确认。</w:t>
      </w:r>
    </w:p>
    <w:p w14:paraId="04071B5C">
      <w:pPr>
        <w:tabs>
          <w:tab w:val="left" w:pos="7920"/>
        </w:tabs>
        <w:spacing w:line="500" w:lineRule="exact"/>
        <w:ind w:right="15" w:rightChars="7"/>
        <w:rPr>
          <w:rFonts w:hint="eastAsia" w:ascii="宋体" w:hAnsi="宋体" w:eastAsia="宋体" w:cs="宋体"/>
          <w:b/>
          <w:color w:val="auto"/>
          <w:sz w:val="24"/>
        </w:rPr>
      </w:pPr>
      <w:bookmarkStart w:id="141" w:name="_Toc193115733"/>
      <w:bookmarkStart w:id="142" w:name="_Toc235592932"/>
      <w:r>
        <w:rPr>
          <w:rFonts w:hint="eastAsia" w:ascii="宋体" w:hAnsi="宋体" w:eastAsia="宋体" w:cs="宋体"/>
          <w:b/>
          <w:color w:val="auto"/>
          <w:sz w:val="24"/>
        </w:rPr>
        <w:t>7.3签订合同</w:t>
      </w:r>
      <w:bookmarkEnd w:id="141"/>
      <w:bookmarkEnd w:id="142"/>
    </w:p>
    <w:p w14:paraId="0798EF98">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7.3.1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12F5F54D">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7.3.2发出中标通知书后，招标人无正当理由拒签合同的，招标人向中标人退还投标保证金；给中标人造成损失的，还应当赔偿损失。</w:t>
      </w:r>
    </w:p>
    <w:p w14:paraId="43323B2C">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7.3.3 中标人与招标人在签订租赁合同或合作协议阶段，本公告内涉及的租赁商务条件与物业经营条件不可变更外，中标人可根据实际情况对合同和协议中的权责部分进行协商。   </w:t>
      </w:r>
    </w:p>
    <w:p w14:paraId="004210BA">
      <w:pPr>
        <w:pStyle w:val="3"/>
        <w:numPr>
          <w:ilvl w:val="1"/>
          <w:numId w:val="0"/>
        </w:numPr>
        <w:spacing w:line="400" w:lineRule="exact"/>
        <w:jc w:val="center"/>
        <w:rPr>
          <w:rFonts w:hint="eastAsia" w:ascii="宋体" w:hAnsi="宋体" w:eastAsia="宋体" w:cs="宋体"/>
          <w:color w:val="auto"/>
          <w:w w:val="100"/>
          <w:kern w:val="32"/>
        </w:rPr>
      </w:pPr>
      <w:bookmarkStart w:id="143" w:name="_Toc5543"/>
      <w:bookmarkStart w:id="144" w:name="_Toc15274"/>
      <w:bookmarkStart w:id="145" w:name="_Toc193115734"/>
      <w:bookmarkStart w:id="146" w:name="_Toc24961"/>
      <w:bookmarkStart w:id="147" w:name="_Toc11989"/>
      <w:bookmarkStart w:id="148" w:name="_Toc235592933"/>
      <w:bookmarkStart w:id="149" w:name="_Toc10223"/>
      <w:bookmarkStart w:id="150" w:name="_Toc15081"/>
      <w:bookmarkStart w:id="151" w:name="_Toc421114366"/>
      <w:r>
        <w:rPr>
          <w:rFonts w:hint="eastAsia" w:ascii="宋体" w:hAnsi="宋体" w:eastAsia="宋体" w:cs="宋体"/>
          <w:color w:val="auto"/>
          <w:w w:val="100"/>
          <w:kern w:val="32"/>
        </w:rPr>
        <w:t>8重新招标和不再招标</w:t>
      </w:r>
      <w:bookmarkEnd w:id="143"/>
      <w:bookmarkEnd w:id="144"/>
      <w:bookmarkEnd w:id="145"/>
      <w:bookmarkEnd w:id="146"/>
      <w:bookmarkEnd w:id="147"/>
      <w:bookmarkEnd w:id="148"/>
      <w:bookmarkEnd w:id="149"/>
      <w:bookmarkEnd w:id="150"/>
      <w:bookmarkEnd w:id="151"/>
    </w:p>
    <w:p w14:paraId="1307E1E0">
      <w:pPr>
        <w:tabs>
          <w:tab w:val="left" w:pos="7920"/>
        </w:tabs>
        <w:spacing w:line="500" w:lineRule="exact"/>
        <w:ind w:right="15" w:rightChars="7"/>
        <w:rPr>
          <w:rFonts w:hint="eastAsia" w:ascii="宋体" w:hAnsi="宋体" w:eastAsia="宋体" w:cs="宋体"/>
          <w:b/>
          <w:color w:val="auto"/>
          <w:sz w:val="24"/>
        </w:rPr>
      </w:pPr>
      <w:bookmarkStart w:id="152" w:name="_Toc235592934"/>
      <w:bookmarkStart w:id="153" w:name="_Toc193115735"/>
      <w:r>
        <w:rPr>
          <w:rFonts w:hint="eastAsia" w:ascii="宋体" w:hAnsi="宋体" w:eastAsia="宋体" w:cs="宋体"/>
          <w:b/>
          <w:color w:val="auto"/>
          <w:sz w:val="24"/>
        </w:rPr>
        <w:t>8.1重新招标</w:t>
      </w:r>
      <w:bookmarkEnd w:id="152"/>
      <w:bookmarkEnd w:id="153"/>
    </w:p>
    <w:p w14:paraId="3A00A355">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有下列情形之一的，招标人将重新招标：</w:t>
      </w:r>
    </w:p>
    <w:p w14:paraId="2FDF3E29">
      <w:pPr>
        <w:tabs>
          <w:tab w:val="left" w:pos="7920"/>
        </w:tabs>
        <w:spacing w:line="500" w:lineRule="exact"/>
        <w:ind w:right="15" w:rightChars="7" w:firstLine="360" w:firstLineChars="150"/>
        <w:rPr>
          <w:rFonts w:hint="eastAsia" w:ascii="宋体" w:hAnsi="宋体" w:eastAsia="宋体" w:cs="宋体"/>
          <w:color w:val="auto"/>
          <w:sz w:val="24"/>
        </w:rPr>
      </w:pPr>
      <w:r>
        <w:rPr>
          <w:rFonts w:hint="eastAsia" w:ascii="宋体" w:hAnsi="宋体" w:eastAsia="宋体" w:cs="宋体"/>
          <w:color w:val="auto"/>
          <w:sz w:val="24"/>
        </w:rPr>
        <w:t>（1）投标截止时间止，投标人少于3个的；</w:t>
      </w:r>
    </w:p>
    <w:p w14:paraId="1BCC52CD">
      <w:pPr>
        <w:tabs>
          <w:tab w:val="left" w:pos="7920"/>
        </w:tabs>
        <w:spacing w:line="500" w:lineRule="exact"/>
        <w:ind w:right="15" w:rightChars="7" w:firstLine="360" w:firstLineChars="150"/>
        <w:rPr>
          <w:rFonts w:hint="eastAsia" w:ascii="宋体" w:hAnsi="宋体" w:eastAsia="宋体" w:cs="宋体"/>
          <w:color w:val="auto"/>
          <w:sz w:val="24"/>
        </w:rPr>
      </w:pPr>
      <w:r>
        <w:rPr>
          <w:rFonts w:hint="eastAsia" w:ascii="宋体" w:hAnsi="宋体" w:eastAsia="宋体" w:cs="宋体"/>
          <w:color w:val="auto"/>
          <w:sz w:val="24"/>
        </w:rPr>
        <w:t>（2）经评标委员会评审后否决所有投标的。</w:t>
      </w:r>
    </w:p>
    <w:p w14:paraId="0A81E0E7">
      <w:pPr>
        <w:tabs>
          <w:tab w:val="left" w:pos="7920"/>
        </w:tabs>
        <w:spacing w:line="500" w:lineRule="exact"/>
        <w:ind w:right="15" w:rightChars="7"/>
        <w:rPr>
          <w:rFonts w:hint="eastAsia" w:ascii="宋体" w:hAnsi="宋体" w:eastAsia="宋体" w:cs="宋体"/>
          <w:b/>
          <w:color w:val="auto"/>
          <w:sz w:val="24"/>
        </w:rPr>
      </w:pPr>
      <w:bookmarkStart w:id="154" w:name="_Toc235592935"/>
      <w:bookmarkStart w:id="155" w:name="_Toc193115736"/>
      <w:r>
        <w:rPr>
          <w:rFonts w:hint="eastAsia" w:ascii="宋体" w:hAnsi="宋体" w:eastAsia="宋体" w:cs="宋体"/>
          <w:b/>
          <w:color w:val="auto"/>
          <w:sz w:val="24"/>
        </w:rPr>
        <w:t>8.2不再招标</w:t>
      </w:r>
      <w:bookmarkEnd w:id="154"/>
      <w:bookmarkEnd w:id="155"/>
    </w:p>
    <w:p w14:paraId="58D219FA">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重新招标后投标人仍少于3个或者所有投标被否决的，属于必须审批或核准的项目，经原审批或核准部门批准后不再进行招标。</w:t>
      </w:r>
    </w:p>
    <w:p w14:paraId="65435709">
      <w:pPr>
        <w:pStyle w:val="3"/>
        <w:numPr>
          <w:ilvl w:val="1"/>
          <w:numId w:val="0"/>
        </w:numPr>
        <w:spacing w:line="400" w:lineRule="exact"/>
        <w:jc w:val="center"/>
        <w:rPr>
          <w:rFonts w:hint="eastAsia" w:ascii="宋体" w:hAnsi="宋体" w:eastAsia="宋体" w:cs="宋体"/>
          <w:color w:val="auto"/>
          <w:w w:val="100"/>
          <w:kern w:val="32"/>
        </w:rPr>
      </w:pPr>
      <w:bookmarkStart w:id="156" w:name="_Toc18911"/>
      <w:bookmarkStart w:id="157" w:name="_Toc421114367"/>
      <w:bookmarkStart w:id="158" w:name="_Toc15146"/>
      <w:bookmarkStart w:id="159" w:name="_Toc235592936"/>
      <w:bookmarkStart w:id="160" w:name="_Toc31112"/>
      <w:bookmarkStart w:id="161" w:name="_Toc25480"/>
      <w:bookmarkStart w:id="162" w:name="_Toc6492"/>
      <w:bookmarkStart w:id="163" w:name="_Toc193115737"/>
      <w:bookmarkStart w:id="164" w:name="_Toc41"/>
      <w:r>
        <w:rPr>
          <w:rFonts w:hint="eastAsia" w:ascii="宋体" w:hAnsi="宋体" w:eastAsia="宋体" w:cs="宋体"/>
          <w:color w:val="auto"/>
          <w:w w:val="100"/>
          <w:kern w:val="32"/>
        </w:rPr>
        <w:t>9纪律</w:t>
      </w:r>
      <w:bookmarkStart w:id="165" w:name="_Hlt226599220"/>
      <w:bookmarkEnd w:id="165"/>
      <w:r>
        <w:rPr>
          <w:rFonts w:hint="eastAsia" w:ascii="宋体" w:hAnsi="宋体" w:eastAsia="宋体" w:cs="宋体"/>
          <w:color w:val="auto"/>
          <w:w w:val="100"/>
          <w:kern w:val="32"/>
        </w:rPr>
        <w:t>和监督</w:t>
      </w:r>
      <w:bookmarkEnd w:id="156"/>
      <w:bookmarkEnd w:id="157"/>
      <w:bookmarkEnd w:id="158"/>
      <w:bookmarkEnd w:id="159"/>
      <w:bookmarkEnd w:id="160"/>
      <w:bookmarkEnd w:id="161"/>
      <w:bookmarkEnd w:id="162"/>
      <w:bookmarkEnd w:id="163"/>
      <w:bookmarkEnd w:id="164"/>
    </w:p>
    <w:p w14:paraId="4BCD6764">
      <w:pPr>
        <w:tabs>
          <w:tab w:val="left" w:pos="7920"/>
        </w:tabs>
        <w:spacing w:line="500" w:lineRule="exact"/>
        <w:ind w:right="15" w:rightChars="7"/>
        <w:rPr>
          <w:rFonts w:hint="eastAsia" w:ascii="宋体" w:hAnsi="宋体" w:eastAsia="宋体" w:cs="宋体"/>
          <w:b/>
          <w:color w:val="auto"/>
          <w:sz w:val="24"/>
        </w:rPr>
      </w:pPr>
      <w:bookmarkStart w:id="166" w:name="_Toc193115738"/>
      <w:bookmarkStart w:id="167" w:name="_Toc235592937"/>
      <w:r>
        <w:rPr>
          <w:rFonts w:hint="eastAsia" w:ascii="宋体" w:hAnsi="宋体" w:eastAsia="宋体" w:cs="宋体"/>
          <w:b/>
          <w:color w:val="auto"/>
          <w:sz w:val="24"/>
        </w:rPr>
        <w:t>9.1对招标人的纪律要求</w:t>
      </w:r>
      <w:bookmarkEnd w:id="166"/>
      <w:bookmarkEnd w:id="167"/>
    </w:p>
    <w:p w14:paraId="4B1CBBAB">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招标人不得泄漏招标投标活动中应当保密的情况和资料，不得与投标人串通损害国家利益、社会公共利益或者他人合法权益。</w:t>
      </w:r>
    </w:p>
    <w:p w14:paraId="3378D10B">
      <w:pPr>
        <w:tabs>
          <w:tab w:val="left" w:pos="7920"/>
        </w:tabs>
        <w:spacing w:line="500" w:lineRule="exact"/>
        <w:ind w:right="15" w:rightChars="7"/>
        <w:rPr>
          <w:rFonts w:hint="eastAsia" w:ascii="宋体" w:hAnsi="宋体" w:eastAsia="宋体" w:cs="宋体"/>
          <w:b/>
          <w:color w:val="auto"/>
          <w:sz w:val="24"/>
        </w:rPr>
      </w:pPr>
      <w:bookmarkStart w:id="168" w:name="_Toc193115739"/>
      <w:bookmarkStart w:id="169" w:name="_Toc235592938"/>
      <w:r>
        <w:rPr>
          <w:rFonts w:hint="eastAsia" w:ascii="宋体" w:hAnsi="宋体" w:eastAsia="宋体" w:cs="宋体"/>
          <w:b/>
          <w:color w:val="auto"/>
          <w:sz w:val="24"/>
        </w:rPr>
        <w:t>9.2对投标人的纪律要求</w:t>
      </w:r>
      <w:bookmarkEnd w:id="168"/>
      <w:bookmarkEnd w:id="169"/>
    </w:p>
    <w:p w14:paraId="2ED2789B">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41F3116C">
      <w:pPr>
        <w:tabs>
          <w:tab w:val="left" w:pos="7920"/>
        </w:tabs>
        <w:spacing w:line="500" w:lineRule="exact"/>
        <w:ind w:right="15" w:rightChars="7"/>
        <w:rPr>
          <w:rFonts w:hint="eastAsia" w:ascii="宋体" w:hAnsi="宋体" w:eastAsia="宋体" w:cs="宋体"/>
          <w:b/>
          <w:color w:val="auto"/>
          <w:sz w:val="24"/>
        </w:rPr>
      </w:pPr>
      <w:bookmarkStart w:id="170" w:name="_Toc235592939"/>
      <w:bookmarkStart w:id="171" w:name="_Toc193115740"/>
      <w:r>
        <w:rPr>
          <w:rFonts w:hint="eastAsia" w:ascii="宋体" w:hAnsi="宋体" w:eastAsia="宋体" w:cs="宋体"/>
          <w:b/>
          <w:color w:val="auto"/>
          <w:sz w:val="24"/>
        </w:rPr>
        <w:t>9.3对评标委员会成员的纪律要求</w:t>
      </w:r>
      <w:bookmarkEnd w:id="170"/>
      <w:bookmarkEnd w:id="171"/>
    </w:p>
    <w:p w14:paraId="0D48F0AB">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六章“评标办法”没有规定的评审因素和标准进行评标。</w:t>
      </w:r>
    </w:p>
    <w:p w14:paraId="401430DF">
      <w:pPr>
        <w:tabs>
          <w:tab w:val="left" w:pos="7920"/>
        </w:tabs>
        <w:spacing w:line="500" w:lineRule="exact"/>
        <w:ind w:right="15" w:rightChars="7"/>
        <w:rPr>
          <w:rFonts w:hint="eastAsia" w:ascii="宋体" w:hAnsi="宋体" w:eastAsia="宋体" w:cs="宋体"/>
          <w:b/>
          <w:color w:val="auto"/>
          <w:sz w:val="24"/>
        </w:rPr>
      </w:pPr>
      <w:bookmarkStart w:id="172" w:name="_Toc193115741"/>
      <w:bookmarkStart w:id="173" w:name="_Toc235592940"/>
      <w:r>
        <w:rPr>
          <w:rFonts w:hint="eastAsia" w:ascii="宋体" w:hAnsi="宋体" w:eastAsia="宋体" w:cs="宋体"/>
          <w:b/>
          <w:color w:val="auto"/>
          <w:sz w:val="24"/>
        </w:rPr>
        <w:t>9.4对与评标活动有关的工作人员的纪律要求</w:t>
      </w:r>
      <w:bookmarkEnd w:id="172"/>
      <w:bookmarkEnd w:id="173"/>
    </w:p>
    <w:p w14:paraId="7141905A">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3D0BCED">
      <w:pPr>
        <w:tabs>
          <w:tab w:val="left" w:pos="7920"/>
        </w:tabs>
        <w:spacing w:line="500" w:lineRule="exact"/>
        <w:ind w:right="15" w:rightChars="7"/>
        <w:rPr>
          <w:rFonts w:hint="eastAsia" w:ascii="宋体" w:hAnsi="宋体" w:eastAsia="宋体" w:cs="宋体"/>
          <w:b/>
          <w:color w:val="auto"/>
          <w:sz w:val="24"/>
        </w:rPr>
      </w:pPr>
      <w:bookmarkStart w:id="174" w:name="_Toc193115742"/>
      <w:bookmarkStart w:id="175" w:name="_Toc235592941"/>
      <w:r>
        <w:rPr>
          <w:rFonts w:hint="eastAsia" w:ascii="宋体" w:hAnsi="宋体" w:eastAsia="宋体" w:cs="宋体"/>
          <w:b/>
          <w:color w:val="auto"/>
          <w:sz w:val="24"/>
        </w:rPr>
        <w:t>9.5投诉</w:t>
      </w:r>
      <w:bookmarkEnd w:id="174"/>
      <w:bookmarkEnd w:id="175"/>
      <w:bookmarkStart w:id="176" w:name="_Hlt226599222"/>
      <w:bookmarkEnd w:id="176"/>
    </w:p>
    <w:p w14:paraId="0EBDEC11">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投标人和其他利害关系人认为本次招标活动违反法律、法规和规章规定的，有权向有关行政监督部门投诉。</w:t>
      </w:r>
    </w:p>
    <w:p w14:paraId="208068ED">
      <w:pPr>
        <w:pStyle w:val="3"/>
        <w:numPr>
          <w:ilvl w:val="1"/>
          <w:numId w:val="0"/>
        </w:numPr>
        <w:spacing w:line="400" w:lineRule="exact"/>
        <w:jc w:val="center"/>
        <w:rPr>
          <w:rFonts w:hint="eastAsia" w:ascii="宋体" w:hAnsi="宋体" w:eastAsia="宋体" w:cs="宋体"/>
          <w:b/>
          <w:bCs/>
          <w:color w:val="auto"/>
          <w:sz w:val="24"/>
        </w:rPr>
      </w:pPr>
      <w:bookmarkStart w:id="177" w:name="_Toc193115743"/>
      <w:bookmarkStart w:id="178" w:name="_Toc12993"/>
      <w:bookmarkStart w:id="179" w:name="_Toc421114368"/>
      <w:bookmarkStart w:id="180" w:name="_Toc24091"/>
      <w:bookmarkStart w:id="181" w:name="_Toc18219"/>
      <w:bookmarkStart w:id="182" w:name="_Toc27418"/>
      <w:bookmarkStart w:id="183" w:name="_Toc235592942"/>
      <w:bookmarkStart w:id="184" w:name="_Toc29965"/>
      <w:bookmarkStart w:id="185" w:name="_Toc7909"/>
      <w:r>
        <w:rPr>
          <w:rFonts w:hint="eastAsia" w:ascii="宋体" w:hAnsi="宋体" w:eastAsia="宋体" w:cs="宋体"/>
          <w:color w:val="auto"/>
          <w:w w:val="100"/>
          <w:kern w:val="32"/>
        </w:rPr>
        <w:t>10需要补充的其他内容</w:t>
      </w:r>
      <w:bookmarkEnd w:id="177"/>
      <w:bookmarkEnd w:id="178"/>
      <w:bookmarkEnd w:id="179"/>
      <w:bookmarkEnd w:id="180"/>
      <w:bookmarkEnd w:id="181"/>
      <w:bookmarkEnd w:id="182"/>
      <w:bookmarkEnd w:id="183"/>
      <w:bookmarkEnd w:id="184"/>
      <w:bookmarkEnd w:id="185"/>
    </w:p>
    <w:p w14:paraId="1A1D51D5">
      <w:pPr>
        <w:tabs>
          <w:tab w:val="left" w:pos="7920"/>
        </w:tabs>
        <w:spacing w:line="500" w:lineRule="exact"/>
        <w:ind w:right="15" w:rightChars="7"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10.1招标代理服务费</w:t>
      </w:r>
    </w:p>
    <w:p w14:paraId="331E0ED8">
      <w:pPr>
        <w:tabs>
          <w:tab w:val="left" w:pos="7920"/>
        </w:tabs>
        <w:spacing w:line="500" w:lineRule="exact"/>
        <w:ind w:right="15" w:rightChars="7"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10.1.1本项目招标代理服务费</w:t>
      </w:r>
      <w:r>
        <w:rPr>
          <w:rFonts w:hint="eastAsia" w:ascii="宋体" w:hAnsi="宋体" w:eastAsia="宋体" w:cs="宋体"/>
          <w:b/>
          <w:bCs/>
          <w:color w:val="auto"/>
          <w:sz w:val="24"/>
          <w:highlight w:val="none"/>
          <w:lang w:eastAsia="zh-CN"/>
        </w:rPr>
        <w:t>按代理协议</w:t>
      </w:r>
      <w:r>
        <w:rPr>
          <w:rFonts w:hint="eastAsia" w:ascii="宋体" w:hAnsi="宋体" w:eastAsia="宋体" w:cs="宋体"/>
          <w:b/>
          <w:bCs/>
          <w:color w:val="auto"/>
          <w:sz w:val="24"/>
          <w:highlight w:val="none"/>
        </w:rPr>
        <w:t>由</w:t>
      </w:r>
      <w:r>
        <w:rPr>
          <w:rFonts w:hint="eastAsia" w:ascii="宋体" w:hAnsi="宋体" w:eastAsia="宋体" w:cs="宋体"/>
          <w:b/>
          <w:bCs/>
          <w:color w:val="auto"/>
          <w:sz w:val="24"/>
          <w:highlight w:val="none"/>
          <w:lang w:eastAsia="zh-CN"/>
        </w:rPr>
        <w:t>招标</w:t>
      </w:r>
      <w:r>
        <w:rPr>
          <w:rFonts w:hint="eastAsia" w:ascii="宋体" w:hAnsi="宋体" w:eastAsia="宋体" w:cs="宋体"/>
          <w:b/>
          <w:bCs/>
          <w:color w:val="auto"/>
          <w:sz w:val="24"/>
          <w:highlight w:val="none"/>
        </w:rPr>
        <w:t>人向招标代理机构</w:t>
      </w:r>
      <w:r>
        <w:rPr>
          <w:rFonts w:hint="eastAsia" w:ascii="宋体" w:hAnsi="宋体" w:eastAsia="宋体" w:cs="宋体"/>
          <w:b/>
          <w:bCs/>
          <w:color w:val="auto"/>
          <w:sz w:val="24"/>
          <w:highlight w:val="none"/>
          <w:lang w:val="en-US" w:eastAsia="zh-CN"/>
        </w:rPr>
        <w:t>一次性</w:t>
      </w:r>
      <w:r>
        <w:rPr>
          <w:rFonts w:hint="eastAsia" w:ascii="宋体" w:hAnsi="宋体" w:eastAsia="宋体" w:cs="宋体"/>
          <w:b/>
          <w:bCs/>
          <w:color w:val="auto"/>
          <w:sz w:val="24"/>
          <w:highlight w:val="none"/>
        </w:rPr>
        <w:t>支付。</w:t>
      </w:r>
    </w:p>
    <w:p w14:paraId="11328D89">
      <w:pPr>
        <w:rPr>
          <w:rFonts w:hint="eastAsia" w:ascii="宋体" w:hAnsi="宋体" w:eastAsia="宋体" w:cs="宋体"/>
          <w:color w:val="auto"/>
        </w:rPr>
      </w:pPr>
      <w:r>
        <w:rPr>
          <w:rFonts w:hint="eastAsia" w:ascii="宋体" w:hAnsi="宋体" w:eastAsia="宋体" w:cs="宋体"/>
          <w:color w:val="auto"/>
          <w:highlight w:val="none"/>
        </w:rPr>
        <w:br w:type="page"/>
      </w:r>
    </w:p>
    <w:p w14:paraId="2D0076ED">
      <w:pPr>
        <w:pStyle w:val="2"/>
        <w:spacing w:line="360" w:lineRule="auto"/>
        <w:jc w:val="center"/>
        <w:rPr>
          <w:rFonts w:hint="eastAsia" w:ascii="宋体" w:hAnsi="宋体" w:eastAsia="宋体" w:cs="宋体"/>
          <w:b/>
          <w:bCs/>
          <w:color w:val="auto"/>
          <w:kern w:val="44"/>
          <w:sz w:val="44"/>
          <w:szCs w:val="44"/>
          <w:lang w:val="en-US" w:eastAsia="zh-CN" w:bidi="ar-SA"/>
        </w:rPr>
      </w:pPr>
      <w:bookmarkStart w:id="186" w:name="_Toc9052"/>
      <w:bookmarkStart w:id="187" w:name="_Toc12948"/>
      <w:bookmarkStart w:id="188" w:name="_Toc2430"/>
      <w:bookmarkStart w:id="189" w:name="_Toc838"/>
      <w:r>
        <w:rPr>
          <w:rFonts w:hint="eastAsia" w:ascii="宋体" w:hAnsi="宋体" w:eastAsia="宋体" w:cs="宋体"/>
          <w:b/>
          <w:bCs/>
          <w:color w:val="auto"/>
          <w:kern w:val="44"/>
          <w:sz w:val="44"/>
          <w:szCs w:val="44"/>
          <w:lang w:val="en-US" w:eastAsia="zh-CN" w:bidi="ar-SA"/>
        </w:rPr>
        <w:t>第三章 项目相关情况说明及要求</w:t>
      </w:r>
      <w:bookmarkEnd w:id="186"/>
      <w:bookmarkEnd w:id="187"/>
      <w:bookmarkEnd w:id="188"/>
    </w:p>
    <w:bookmarkEnd w:id="140"/>
    <w:bookmarkEnd w:id="189"/>
    <w:p w14:paraId="6E9F61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eastAsia" w:ascii="仿宋_GB2312" w:hAnsi="仿宋_GB2312" w:eastAsia="仿宋_GB2312" w:cs="仿宋_GB2312"/>
          <w:sz w:val="30"/>
          <w:szCs w:val="30"/>
          <w:highlight w:val="none"/>
          <w:lang w:eastAsia="zh-CN"/>
        </w:rPr>
      </w:pPr>
      <w:bookmarkStart w:id="190" w:name="_Toc16986"/>
      <w:bookmarkStart w:id="191" w:name="_Toc227520434"/>
      <w:r>
        <w:rPr>
          <w:rFonts w:hint="eastAsia" w:ascii="仿宋_GB2312" w:hAnsi="仿宋_GB2312" w:eastAsia="仿宋_GB2312" w:cs="仿宋_GB2312"/>
          <w:sz w:val="30"/>
          <w:szCs w:val="30"/>
          <w:highlight w:val="none"/>
          <w:lang w:val="en-US" w:eastAsia="zh-CN"/>
        </w:rPr>
        <w:t>雨花区同兴佳苑安置房项目位于同升街道新兴村，项目净用地面积33058.49㎡，总建筑面积111102.35㎡，容积率2.5，地上建筑面积86556.65㎡，地下建筑面积24576.65㎡。其中住宅75552.54㎡，商业4473.45㎡，项目可提供安置房806套，可安置920人。本项目包括10栋高层住宅、4栋商业，设计停车位698个（地面车位30个，地下车位668个）。</w:t>
      </w:r>
      <w:r>
        <w:rPr>
          <w:rFonts w:hint="eastAsia" w:ascii="仿宋_GB2312" w:hAnsi="仿宋_GB2312" w:eastAsia="仿宋_GB2312" w:cs="仿宋_GB2312"/>
          <w:sz w:val="30"/>
          <w:szCs w:val="30"/>
          <w:highlight w:val="none"/>
          <w:lang w:eastAsia="zh-CN"/>
        </w:rPr>
        <w:t>根据工作推进需求，现对</w:t>
      </w:r>
      <w:r>
        <w:rPr>
          <w:rFonts w:hint="eastAsia" w:ascii="仿宋_GB2312" w:hAnsi="仿宋_GB2312" w:eastAsia="仿宋_GB2312" w:cs="仿宋_GB2312"/>
          <w:sz w:val="30"/>
          <w:szCs w:val="30"/>
          <w:highlight w:val="none"/>
          <w:lang w:val="en-US" w:eastAsia="zh-CN"/>
        </w:rPr>
        <w:t>同兴佳苑</w:t>
      </w:r>
      <w:r>
        <w:rPr>
          <w:rFonts w:hint="eastAsia" w:ascii="仿宋_GB2312" w:hAnsi="仿宋_GB2312" w:eastAsia="仿宋_GB2312" w:cs="仿宋_GB2312"/>
          <w:sz w:val="30"/>
          <w:szCs w:val="30"/>
          <w:highlight w:val="none"/>
          <w:lang w:eastAsia="zh-CN"/>
        </w:rPr>
        <w:t>小区整体物业管理服务工作进行招标，具体招标明细及要求如下：</w:t>
      </w:r>
    </w:p>
    <w:p w14:paraId="539E73F5">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黑体" w:hAnsi="黑体" w:eastAsia="黑体" w:cs="黑体"/>
          <w:sz w:val="30"/>
          <w:szCs w:val="30"/>
          <w:lang w:eastAsia="zh-CN"/>
        </w:rPr>
      </w:pPr>
      <w:r>
        <w:rPr>
          <w:rFonts w:hint="eastAsia" w:ascii="黑体" w:hAnsi="黑体" w:eastAsia="黑体" w:cs="黑体"/>
          <w:sz w:val="30"/>
          <w:szCs w:val="30"/>
          <w:lang w:eastAsia="zh-CN"/>
        </w:rPr>
        <w:t>一、招标范围</w:t>
      </w:r>
    </w:p>
    <w:p w14:paraId="40C10B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同兴佳苑小区整体前期物业管理服务，</w:t>
      </w:r>
      <w:r>
        <w:rPr>
          <w:rFonts w:hint="eastAsia" w:ascii="仿宋_GB2312" w:hAnsi="仿宋_GB2312" w:eastAsia="仿宋_GB2312" w:cs="仿宋_GB2312"/>
          <w:sz w:val="30"/>
          <w:szCs w:val="30"/>
          <w:lang w:eastAsia="zh-CN"/>
        </w:rPr>
        <w:t>具体范围以合同约定为准。</w:t>
      </w:r>
    </w:p>
    <w:p w14:paraId="774E0A4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黑体" w:hAnsi="黑体" w:eastAsia="黑体" w:cs="黑体"/>
          <w:sz w:val="30"/>
          <w:szCs w:val="30"/>
          <w:lang w:eastAsia="zh-CN"/>
        </w:rPr>
      </w:pPr>
      <w:r>
        <w:rPr>
          <w:rFonts w:hint="eastAsia" w:ascii="黑体" w:hAnsi="黑体" w:eastAsia="黑体" w:cs="黑体"/>
          <w:sz w:val="30"/>
          <w:szCs w:val="30"/>
          <w:lang w:eastAsia="zh-CN"/>
        </w:rPr>
        <w:t>二、招标方式</w:t>
      </w:r>
    </w:p>
    <w:p w14:paraId="452C8B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采取公开招标</w:t>
      </w:r>
    </w:p>
    <w:p w14:paraId="051F867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楷体_GB2312" w:hAnsi="楷体_GB2312" w:eastAsia="楷体_GB2312" w:cs="楷体_GB2312"/>
          <w:sz w:val="30"/>
          <w:szCs w:val="30"/>
          <w:lang w:val="en-US" w:eastAsia="zh-CN"/>
        </w:rPr>
      </w:pPr>
      <w:r>
        <w:rPr>
          <w:rFonts w:hint="eastAsia" w:ascii="黑体" w:hAnsi="黑体" w:eastAsia="黑体" w:cs="黑体"/>
          <w:sz w:val="30"/>
          <w:szCs w:val="30"/>
          <w:lang w:val="en-US" w:eastAsia="zh-CN"/>
        </w:rPr>
        <w:t>三、招标要求</w:t>
      </w:r>
    </w:p>
    <w:p w14:paraId="50C016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1.控制价（装修垃圾清运费为一次性支付价格，仅首年支付）</w:t>
      </w:r>
    </w:p>
    <w:tbl>
      <w:tblPr>
        <w:tblStyle w:val="39"/>
        <w:tblpPr w:leftFromText="180" w:rightFromText="180" w:vertAnchor="text" w:horzAnchor="page" w:tblpX="1762" w:tblpY="222"/>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1766"/>
        <w:gridCol w:w="1883"/>
        <w:gridCol w:w="1662"/>
        <w:gridCol w:w="1955"/>
      </w:tblGrid>
      <w:tr w14:paraId="2ACF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35" w:type="pct"/>
            <w:vAlign w:val="center"/>
          </w:tcPr>
          <w:p w14:paraId="4DC11D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p>
        </w:tc>
        <w:tc>
          <w:tcPr>
            <w:tcW w:w="1036" w:type="pct"/>
            <w:vAlign w:val="center"/>
          </w:tcPr>
          <w:p w14:paraId="05EF6A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高层电梯住宅</w:t>
            </w:r>
          </w:p>
        </w:tc>
        <w:tc>
          <w:tcPr>
            <w:tcW w:w="1105" w:type="pct"/>
            <w:vAlign w:val="center"/>
          </w:tcPr>
          <w:p w14:paraId="0A9DB6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商业</w:t>
            </w:r>
          </w:p>
        </w:tc>
        <w:tc>
          <w:tcPr>
            <w:tcW w:w="975" w:type="pct"/>
            <w:vAlign w:val="center"/>
          </w:tcPr>
          <w:p w14:paraId="749629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装修垃圾</w:t>
            </w:r>
          </w:p>
          <w:p w14:paraId="004333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清运费</w:t>
            </w:r>
          </w:p>
        </w:tc>
        <w:tc>
          <w:tcPr>
            <w:tcW w:w="1147" w:type="pct"/>
            <w:vAlign w:val="center"/>
          </w:tcPr>
          <w:p w14:paraId="3DCE52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合计</w:t>
            </w:r>
          </w:p>
        </w:tc>
      </w:tr>
      <w:tr w14:paraId="2FD8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35" w:type="pct"/>
            <w:vAlign w:val="center"/>
          </w:tcPr>
          <w:p w14:paraId="54B6D7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控制价</w:t>
            </w:r>
          </w:p>
        </w:tc>
        <w:tc>
          <w:tcPr>
            <w:tcW w:w="1036" w:type="pct"/>
            <w:vAlign w:val="center"/>
          </w:tcPr>
          <w:p w14:paraId="66745D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4"/>
                <w:szCs w:val="24"/>
                <w:highlight w:val="none"/>
              </w:rPr>
            </w:pPr>
            <w:r>
              <w:rPr>
                <w:rFonts w:hint="eastAsia" w:ascii="仿宋_GB2312" w:hAnsi="宋体" w:eastAsia="仿宋_GB2312" w:cs="仿宋_GB2312"/>
                <w:i w:val="0"/>
                <w:iCs w:val="0"/>
                <w:color w:val="000000"/>
                <w:kern w:val="0"/>
                <w:sz w:val="24"/>
                <w:szCs w:val="24"/>
                <w:u w:val="none"/>
                <w:lang w:val="en-US" w:eastAsia="zh-CN" w:bidi="ar"/>
              </w:rPr>
              <w:t>1.5元/㎡/月</w:t>
            </w:r>
          </w:p>
        </w:tc>
        <w:tc>
          <w:tcPr>
            <w:tcW w:w="1105" w:type="pct"/>
            <w:vAlign w:val="center"/>
          </w:tcPr>
          <w:p w14:paraId="53B350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4"/>
                <w:szCs w:val="24"/>
                <w:highlight w:val="none"/>
              </w:rPr>
            </w:pPr>
            <w:r>
              <w:rPr>
                <w:rFonts w:hint="eastAsia" w:ascii="仿宋_GB2312" w:hAnsi="宋体" w:eastAsia="仿宋_GB2312" w:cs="仿宋_GB2312"/>
                <w:i w:val="0"/>
                <w:iCs w:val="0"/>
                <w:color w:val="000000"/>
                <w:kern w:val="0"/>
                <w:sz w:val="24"/>
                <w:szCs w:val="24"/>
                <w:u w:val="none"/>
                <w:lang w:val="en-US" w:eastAsia="zh-CN" w:bidi="ar"/>
              </w:rPr>
              <w:t>3元/㎡/月</w:t>
            </w:r>
          </w:p>
        </w:tc>
        <w:tc>
          <w:tcPr>
            <w:tcW w:w="975" w:type="pct"/>
            <w:vAlign w:val="center"/>
          </w:tcPr>
          <w:p w14:paraId="26EB15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2元/㎡</w:t>
            </w:r>
          </w:p>
        </w:tc>
        <w:tc>
          <w:tcPr>
            <w:tcW w:w="1147" w:type="pct"/>
            <w:vAlign w:val="center"/>
          </w:tcPr>
          <w:p w14:paraId="158550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w:t>
            </w:r>
          </w:p>
        </w:tc>
      </w:tr>
      <w:tr w14:paraId="3B5A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35" w:type="pct"/>
            <w:vAlign w:val="center"/>
          </w:tcPr>
          <w:p w14:paraId="77F810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面积</w:t>
            </w:r>
          </w:p>
        </w:tc>
        <w:tc>
          <w:tcPr>
            <w:tcW w:w="1036" w:type="pct"/>
            <w:vAlign w:val="center"/>
          </w:tcPr>
          <w:p w14:paraId="5A0668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_GB2312" w:hAnsi="仿宋_GB2312" w:eastAsia="仿宋_GB2312" w:cs="仿宋_GB2312"/>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75552.54</w:t>
            </w:r>
          </w:p>
        </w:tc>
        <w:tc>
          <w:tcPr>
            <w:tcW w:w="1105" w:type="pct"/>
            <w:vAlign w:val="center"/>
          </w:tcPr>
          <w:p w14:paraId="705E29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_GB2312" w:hAnsi="仿宋_GB2312" w:eastAsia="仿宋_GB2312" w:cs="仿宋_GB2312"/>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4473.45</w:t>
            </w:r>
          </w:p>
        </w:tc>
        <w:tc>
          <w:tcPr>
            <w:tcW w:w="975" w:type="pct"/>
            <w:vAlign w:val="center"/>
          </w:tcPr>
          <w:p w14:paraId="5D5E78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111102.35</w:t>
            </w:r>
          </w:p>
        </w:tc>
        <w:tc>
          <w:tcPr>
            <w:tcW w:w="1147" w:type="pct"/>
            <w:vAlign w:val="center"/>
          </w:tcPr>
          <w:p w14:paraId="168C28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w:t>
            </w:r>
          </w:p>
        </w:tc>
      </w:tr>
      <w:tr w14:paraId="055D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trPr>
        <w:tc>
          <w:tcPr>
            <w:tcW w:w="735" w:type="pct"/>
            <w:vAlign w:val="center"/>
          </w:tcPr>
          <w:p w14:paraId="2A2F56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首年价格</w:t>
            </w:r>
          </w:p>
          <w:p w14:paraId="7A370B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（元）</w:t>
            </w:r>
          </w:p>
        </w:tc>
        <w:tc>
          <w:tcPr>
            <w:tcW w:w="1036" w:type="pct"/>
            <w:vAlign w:val="center"/>
          </w:tcPr>
          <w:p w14:paraId="28AE02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_GB2312" w:hAnsi="仿宋_GB2312" w:eastAsia="仿宋_GB2312" w:cs="仿宋_GB2312"/>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 xml:space="preserve">1359945.72 </w:t>
            </w:r>
          </w:p>
        </w:tc>
        <w:tc>
          <w:tcPr>
            <w:tcW w:w="1105" w:type="pct"/>
            <w:vAlign w:val="center"/>
          </w:tcPr>
          <w:p w14:paraId="6F9A6A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_GB2312" w:hAnsi="仿宋_GB2312" w:eastAsia="仿宋_GB2312" w:cs="仿宋_GB2312"/>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 xml:space="preserve">161044.20 </w:t>
            </w:r>
          </w:p>
        </w:tc>
        <w:tc>
          <w:tcPr>
            <w:tcW w:w="975" w:type="pct"/>
            <w:vAlign w:val="center"/>
          </w:tcPr>
          <w:p w14:paraId="4B1801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_GB2312" w:hAnsi="仿宋_GB2312" w:eastAsia="仿宋_GB2312" w:cs="仿宋_GB2312"/>
                <w:sz w:val="24"/>
                <w:szCs w:val="24"/>
                <w:highlight w:val="none"/>
                <w:lang w:val="en-US" w:eastAsia="zh-CN"/>
              </w:rPr>
            </w:pPr>
            <w:r>
              <w:rPr>
                <w:rFonts w:hint="eastAsia" w:ascii="仿宋_GB2312" w:hAnsi="宋体" w:eastAsia="仿宋_GB2312" w:cs="仿宋_GB2312"/>
                <w:i w:val="0"/>
                <w:iCs w:val="0"/>
                <w:color w:val="000000"/>
                <w:kern w:val="0"/>
                <w:sz w:val="24"/>
                <w:szCs w:val="24"/>
                <w:u w:val="none"/>
                <w:lang w:val="en-US" w:eastAsia="zh-CN" w:bidi="ar"/>
              </w:rPr>
              <w:t xml:space="preserve">222204.70  </w:t>
            </w:r>
          </w:p>
        </w:tc>
        <w:tc>
          <w:tcPr>
            <w:tcW w:w="1147" w:type="pct"/>
            <w:shd w:val="clear" w:color="auto" w:fill="auto"/>
            <w:vAlign w:val="center"/>
          </w:tcPr>
          <w:p w14:paraId="4DCBCD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w:hAnsi="Arial" w:eastAsia="宋体" w:cs="Arial"/>
                <w:b/>
                <w:bCs/>
                <w:i w:val="0"/>
                <w:iCs w:val="0"/>
                <w:color w:val="000000"/>
                <w:kern w:val="2"/>
                <w:sz w:val="24"/>
                <w:szCs w:val="24"/>
                <w:u w:val="none"/>
                <w:lang w:val="en-US" w:eastAsia="zh-CN" w:bidi="ar-SA"/>
              </w:rPr>
            </w:pPr>
            <w:r>
              <w:rPr>
                <w:rFonts w:hint="default" w:ascii="Arial" w:hAnsi="Arial" w:eastAsia="宋体" w:cs="Arial"/>
                <w:b/>
                <w:bCs/>
                <w:i w:val="0"/>
                <w:iCs w:val="0"/>
                <w:color w:val="000000"/>
                <w:kern w:val="0"/>
                <w:sz w:val="24"/>
                <w:szCs w:val="24"/>
                <w:u w:val="none"/>
                <w:lang w:val="en-US" w:eastAsia="zh-CN" w:bidi="ar"/>
              </w:rPr>
              <w:t>￥1,743,194.62</w:t>
            </w:r>
            <w:r>
              <w:rPr>
                <w:rFonts w:hint="eastAsia" w:ascii="Arial" w:hAnsi="Arial" w:eastAsia="宋体" w:cs="Arial"/>
                <w:b/>
                <w:bCs/>
                <w:i w:val="0"/>
                <w:iCs w:val="0"/>
                <w:color w:val="000000"/>
                <w:kern w:val="0"/>
                <w:sz w:val="24"/>
                <w:szCs w:val="24"/>
                <w:u w:val="none"/>
                <w:lang w:val="en-US" w:eastAsia="zh-CN" w:bidi="ar"/>
              </w:rPr>
              <w:t>（</w:t>
            </w:r>
            <w:r>
              <w:rPr>
                <w:rFonts w:hint="default" w:ascii="Arial" w:hAnsi="Arial" w:eastAsia="宋体" w:cs="Arial"/>
                <w:b/>
                <w:bCs/>
                <w:i w:val="0"/>
                <w:iCs w:val="0"/>
                <w:color w:val="000000"/>
                <w:kern w:val="0"/>
                <w:sz w:val="24"/>
                <w:szCs w:val="24"/>
                <w:u w:val="none"/>
                <w:lang w:val="en-US" w:eastAsia="zh-CN" w:bidi="ar"/>
              </w:rPr>
              <w:t>壹佰柒拾肆万叁仟壹佰玖拾肆元陆角贰分</w:t>
            </w:r>
            <w:r>
              <w:rPr>
                <w:rFonts w:hint="eastAsia" w:ascii="Arial" w:hAnsi="Arial" w:eastAsia="宋体" w:cs="Arial"/>
                <w:b/>
                <w:bCs/>
                <w:i w:val="0"/>
                <w:iCs w:val="0"/>
                <w:color w:val="000000"/>
                <w:kern w:val="0"/>
                <w:sz w:val="24"/>
                <w:szCs w:val="24"/>
                <w:u w:val="none"/>
                <w:lang w:val="en-US" w:eastAsia="zh-CN" w:bidi="ar"/>
              </w:rPr>
              <w:t>）</w:t>
            </w:r>
          </w:p>
        </w:tc>
      </w:tr>
    </w:tbl>
    <w:p w14:paraId="5D33DF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2.项目内地面停车运营收益归全体业主所有，可由物业公司代运营，收益用于小区提质改造及维修费用；项目商业区域的停车运营管理及地下停车位的运营管理收益权归甲方所有，物业公司可与甲方商谈后代管。</w:t>
      </w:r>
    </w:p>
    <w:p w14:paraId="272780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eastAsia" w:ascii="Times New Roman" w:hAnsi="Times New Roman" w:eastAsia="仿宋_GB2312" w:cs="Times New Roman"/>
          <w:sz w:val="30"/>
          <w:szCs w:val="30"/>
          <w:highlight w:val="none"/>
          <w:lang w:val="en-US" w:eastAsia="zh-CN"/>
        </w:rPr>
      </w:pPr>
      <w:r>
        <w:rPr>
          <w:rFonts w:hint="eastAsia" w:ascii="仿宋_GB2312" w:hAnsi="仿宋_GB2312" w:eastAsia="仿宋_GB2312" w:cs="仿宋_GB2312"/>
          <w:sz w:val="30"/>
          <w:szCs w:val="30"/>
          <w:lang w:val="en-US" w:eastAsia="zh-CN"/>
        </w:rPr>
        <w:t>3.</w:t>
      </w:r>
      <w:r>
        <w:rPr>
          <w:rFonts w:hint="default" w:ascii="Times New Roman" w:hAnsi="Times New Roman" w:eastAsia="仿宋_GB2312" w:cs="Times New Roman"/>
          <w:sz w:val="30"/>
          <w:szCs w:val="30"/>
          <w:highlight w:val="none"/>
        </w:rPr>
        <w:t>根据合同约定提供物业管理服务</w:t>
      </w:r>
      <w:r>
        <w:rPr>
          <w:rFonts w:hint="default" w:ascii="Times New Roman" w:hAnsi="Times New Roman" w:eastAsia="仿宋_GB2312" w:cs="Times New Roman"/>
          <w:sz w:val="30"/>
          <w:szCs w:val="30"/>
          <w:highlight w:val="none"/>
          <w:lang w:eastAsia="zh-CN"/>
        </w:rPr>
        <w:t>项目</w:t>
      </w:r>
      <w:r>
        <w:rPr>
          <w:rFonts w:hint="default" w:ascii="Times New Roman" w:hAnsi="Times New Roman" w:eastAsia="仿宋_GB2312" w:cs="Times New Roman"/>
          <w:sz w:val="30"/>
          <w:szCs w:val="30"/>
          <w:highlight w:val="none"/>
        </w:rPr>
        <w:t>，并接受甲方及甲方委托人</w:t>
      </w:r>
      <w:r>
        <w:rPr>
          <w:rFonts w:hint="default" w:ascii="Times New Roman" w:hAnsi="Times New Roman" w:eastAsia="仿宋_GB2312" w:cs="Times New Roman"/>
          <w:sz w:val="30"/>
          <w:szCs w:val="30"/>
          <w:highlight w:val="none"/>
          <w:lang w:eastAsia="zh-CN"/>
        </w:rPr>
        <w:t>制定</w:t>
      </w:r>
      <w:r>
        <w:rPr>
          <w:rFonts w:hint="default" w:ascii="Times New Roman" w:hAnsi="Times New Roman" w:eastAsia="仿宋_GB2312" w:cs="Times New Roman"/>
          <w:sz w:val="30"/>
          <w:szCs w:val="30"/>
          <w:highlight w:val="none"/>
        </w:rPr>
        <w:t>的</w:t>
      </w:r>
      <w:r>
        <w:rPr>
          <w:rFonts w:hint="default" w:ascii="Times New Roman" w:hAnsi="Times New Roman" w:eastAsia="仿宋_GB2312" w:cs="Times New Roman"/>
          <w:sz w:val="30"/>
          <w:szCs w:val="30"/>
          <w:highlight w:val="none"/>
          <w:lang w:eastAsia="zh-CN"/>
        </w:rPr>
        <w:t>《雨花城投集团监管保障性住房小区物业服务考评方案》进行物业管理工作，</w:t>
      </w:r>
      <w:r>
        <w:rPr>
          <w:rFonts w:hint="eastAsia" w:ascii="Times New Roman" w:hAnsi="Times New Roman" w:eastAsia="仿宋_GB2312" w:cs="Times New Roman"/>
          <w:sz w:val="30"/>
          <w:szCs w:val="30"/>
          <w:highlight w:val="none"/>
          <w:lang w:val="en-US" w:eastAsia="zh-CN"/>
        </w:rPr>
        <w:t>乙方</w:t>
      </w:r>
      <w:r>
        <w:rPr>
          <w:rFonts w:hint="default" w:ascii="Times New Roman" w:hAnsi="Times New Roman" w:eastAsia="仿宋_GB2312" w:cs="Times New Roman"/>
          <w:sz w:val="30"/>
          <w:szCs w:val="30"/>
          <w:highlight w:val="none"/>
          <w:lang w:val="en-US" w:eastAsia="zh-CN"/>
        </w:rPr>
        <w:t>承担小区内质保期后物业维修资金缴纳前的维修维护责任</w:t>
      </w:r>
      <w:r>
        <w:rPr>
          <w:rFonts w:hint="eastAsia" w:ascii="Times New Roman" w:hAnsi="Times New Roman" w:eastAsia="仿宋_GB2312" w:cs="Times New Roman"/>
          <w:sz w:val="30"/>
          <w:szCs w:val="30"/>
          <w:highlight w:val="none"/>
          <w:lang w:val="en-US" w:eastAsia="zh-CN"/>
        </w:rPr>
        <w:t>和费用。</w:t>
      </w:r>
    </w:p>
    <w:p w14:paraId="2FAE98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eastAsia" w:ascii="Times New Roman" w:hAnsi="Times New Roman" w:eastAsia="仿宋_GB2312" w:cs="Times New Roman"/>
          <w:sz w:val="30"/>
          <w:szCs w:val="30"/>
          <w:highlight w:val="none"/>
          <w:lang w:val="en-US" w:eastAsia="zh-CN"/>
        </w:rPr>
      </w:pPr>
      <w:r>
        <w:rPr>
          <w:rFonts w:hint="eastAsia" w:ascii="仿宋_GB2312" w:hAnsi="仿宋_GB2312" w:eastAsia="仿宋_GB2312" w:cs="仿宋_GB2312"/>
          <w:sz w:val="30"/>
          <w:szCs w:val="30"/>
          <w:lang w:val="en-US" w:eastAsia="zh-CN"/>
        </w:rPr>
        <w:t>4.本</w:t>
      </w:r>
      <w:r>
        <w:rPr>
          <w:rFonts w:hint="eastAsia" w:ascii="Times New Roman" w:hAnsi="Times New Roman" w:eastAsia="仿宋_GB2312" w:cs="Times New Roman"/>
          <w:sz w:val="30"/>
          <w:szCs w:val="30"/>
          <w:highlight w:val="none"/>
          <w:lang w:val="en-US" w:eastAsia="zh-CN"/>
        </w:rPr>
        <w:t>项目物业管理费的收取按政策规定执行，非集体经济组织成员购买本项目时需签订物业管理服务合同，按本小区物业服务合同约定的价格自行缴纳物业管理服务费或由中标方收取物业管理费。</w:t>
      </w:r>
    </w:p>
    <w:p w14:paraId="0CCD76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default" w:ascii="Times New Roman" w:hAnsi="Times New Roman" w:eastAsia="仿宋_GB2312" w:cs="Times New Roman"/>
          <w:sz w:val="30"/>
          <w:szCs w:val="30"/>
          <w:highlight w:val="none"/>
          <w:lang w:val="en-US" w:eastAsia="zh-CN"/>
        </w:rPr>
      </w:pPr>
      <w:r>
        <w:rPr>
          <w:rFonts w:hint="eastAsia" w:ascii="仿宋_GB2312" w:hAnsi="仿宋_GB2312" w:eastAsia="仿宋_GB2312" w:cs="仿宋_GB2312"/>
          <w:sz w:val="30"/>
          <w:szCs w:val="30"/>
          <w:highlight w:val="none"/>
          <w:lang w:val="en-US" w:eastAsia="zh-CN"/>
        </w:rPr>
        <w:t>5.</w:t>
      </w:r>
      <w:r>
        <w:rPr>
          <w:rFonts w:hint="default" w:ascii="Times New Roman" w:hAnsi="Times New Roman" w:eastAsia="仿宋_GB2312" w:cs="Times New Roman"/>
          <w:sz w:val="30"/>
          <w:szCs w:val="30"/>
          <w:highlight w:val="none"/>
          <w:lang w:val="en-US" w:eastAsia="zh-CN"/>
        </w:rPr>
        <w:t>乙方根据项目内的实</w:t>
      </w:r>
      <w:r>
        <w:rPr>
          <w:rFonts w:hint="default" w:ascii="Times New Roman" w:hAnsi="Times New Roman" w:eastAsia="仿宋_GB2312" w:cs="Times New Roman"/>
          <w:sz w:val="30"/>
          <w:szCs w:val="30"/>
          <w:lang w:val="en-US" w:eastAsia="zh-CN"/>
        </w:rPr>
        <w:t>际情况及甲方要求</w:t>
      </w:r>
      <w:r>
        <w:rPr>
          <w:rFonts w:hint="eastAsia" w:ascii="Times New Roman" w:hAnsi="Times New Roman" w:eastAsia="仿宋_GB2312" w:cs="Times New Roman"/>
          <w:sz w:val="30"/>
          <w:szCs w:val="30"/>
          <w:lang w:val="en-US" w:eastAsia="zh-CN"/>
        </w:rPr>
        <w:t>需</w:t>
      </w:r>
      <w:r>
        <w:rPr>
          <w:rFonts w:hint="default" w:ascii="Times New Roman" w:hAnsi="Times New Roman" w:eastAsia="仿宋_GB2312" w:cs="Times New Roman"/>
          <w:sz w:val="30"/>
          <w:szCs w:val="30"/>
          <w:lang w:val="en-US" w:eastAsia="zh-CN"/>
        </w:rPr>
        <w:t>对项目内的水、电等费用按照相关规定进行代收代缴，如无法收缴齐全则由乙方对水、电等费用进行垫付；</w:t>
      </w:r>
    </w:p>
    <w:p w14:paraId="03FE9432">
      <w:pPr>
        <w:keepNext w:val="0"/>
        <w:keepLines w:val="0"/>
        <w:pageBreakBefore w:val="0"/>
        <w:widowControl w:val="0"/>
        <w:kinsoku/>
        <w:wordWrap/>
        <w:overflowPunct/>
        <w:topLinePunct w:val="0"/>
        <w:autoSpaceDE/>
        <w:autoSpaceDN/>
        <w:bidi w:val="0"/>
        <w:adjustRightInd/>
        <w:snapToGrid/>
        <w:spacing w:line="560" w:lineRule="exact"/>
        <w:ind w:firstLine="594" w:firstLineChars="198"/>
        <w:textAlignment w:val="auto"/>
        <w:rPr>
          <w:rFonts w:hint="eastAsia" w:ascii="Times New Roman" w:hAnsi="Times New Roman" w:eastAsia="仿宋_GB2312" w:cs="Times New Roman"/>
          <w:sz w:val="30"/>
          <w:szCs w:val="30"/>
          <w:highlight w:val="none"/>
          <w:lang w:val="en-US" w:eastAsia="zh-CN"/>
        </w:rPr>
      </w:pP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lang w:eastAsia="zh-CN"/>
        </w:rPr>
        <w:t>合同签订</w:t>
      </w:r>
      <w:r>
        <w:rPr>
          <w:rFonts w:hint="eastAsia" w:ascii="Times New Roman" w:hAnsi="Times New Roman" w:eastAsia="仿宋_GB2312" w:cs="Times New Roman"/>
          <w:sz w:val="30"/>
          <w:szCs w:val="30"/>
          <w:highlight w:val="none"/>
          <w:lang w:val="en-US" w:eastAsia="zh-CN"/>
        </w:rPr>
        <w:t>期：物业管理服务期限自合同签订之日起至小区成立业委会并选聘新物业公司且本小区“5平方米物业”按政策文件移交给所属街道或村集体经济组织之日止。</w:t>
      </w:r>
    </w:p>
    <w:p w14:paraId="1D9E6299">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7.按照甲方的要求及考核方案进行物业管理服务工作，根据考核情况支付70%-100%不等的物业管理费用，</w:t>
      </w:r>
      <w:r>
        <w:rPr>
          <w:rFonts w:hint="default" w:ascii="Times New Roman" w:hAnsi="Times New Roman" w:eastAsia="仿宋_GB2312" w:cs="Times New Roman"/>
          <w:sz w:val="30"/>
          <w:szCs w:val="30"/>
          <w:lang w:val="en-US" w:eastAsia="zh-CN"/>
        </w:rPr>
        <w:t>乙方不得以此为由消极、降低或减少服务品质及人员配置。</w:t>
      </w:r>
    </w:p>
    <w:p w14:paraId="6BE02C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eastAsia" w:ascii="仿宋_GB2312" w:hAnsi="仿宋_GB2312" w:eastAsia="仿宋_GB2312" w:cs="仿宋_GB2312"/>
          <w:sz w:val="30"/>
          <w:szCs w:val="30"/>
          <w:lang w:val="en-US" w:eastAsia="zh-CN"/>
        </w:rPr>
        <w:t>8.</w:t>
      </w:r>
      <w:r>
        <w:rPr>
          <w:rFonts w:hint="default" w:ascii="Times New Roman" w:hAnsi="Times New Roman" w:eastAsia="仿宋_GB2312" w:cs="Times New Roman"/>
          <w:sz w:val="30"/>
          <w:szCs w:val="30"/>
          <w:highlight w:val="none"/>
          <w:lang w:val="en-US" w:eastAsia="zh-CN"/>
        </w:rPr>
        <w:t>因乙方物业管理服务及工作配合原因不符合甲方要求的，甲方有权适时延期及暂缓支付物业管理服务费，情节严重的甲方可下发退场通知书，要求乙方在规定时间内退场，乙方不得以此为由消极、降低服务或拒绝执行。</w:t>
      </w:r>
    </w:p>
    <w:p w14:paraId="242773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sz w:val="30"/>
          <w:szCs w:val="30"/>
          <w:lang w:val="en-US" w:eastAsia="zh-CN"/>
        </w:rPr>
      </w:pPr>
      <w:r>
        <w:rPr>
          <w:rFonts w:hint="eastAsia" w:ascii="仿宋_GB2312" w:hAnsi="仿宋_GB2312" w:eastAsia="仿宋_GB2312" w:cs="仿宋_GB2312"/>
          <w:sz w:val="30"/>
          <w:szCs w:val="30"/>
          <w:lang w:val="en-US" w:eastAsia="zh-CN"/>
        </w:rPr>
        <w:t>9.</w:t>
      </w:r>
      <w:r>
        <w:rPr>
          <w:rFonts w:hint="default" w:ascii="Times New Roman" w:hAnsi="Times New Roman" w:eastAsia="仿宋_GB2312" w:cs="Times New Roman"/>
          <w:sz w:val="30"/>
          <w:szCs w:val="30"/>
          <w:lang w:val="en-US" w:eastAsia="zh-CN"/>
        </w:rPr>
        <w:t>物业办公用房的装修标准由甲方进行审核，如超过甲方规定的标准及要求则由乙方自行承担。</w:t>
      </w:r>
    </w:p>
    <w:p w14:paraId="085291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sz w:val="30"/>
          <w:szCs w:val="30"/>
          <w:lang w:val="en-US" w:eastAsia="zh-CN"/>
        </w:rPr>
      </w:pPr>
      <w:r>
        <w:rPr>
          <w:rFonts w:hint="eastAsia" w:ascii="仿宋_GB2312" w:hAnsi="仿宋_GB2312" w:eastAsia="仿宋_GB2312" w:cs="仿宋_GB2312"/>
          <w:sz w:val="30"/>
          <w:szCs w:val="30"/>
          <w:lang w:val="en-US" w:eastAsia="zh-CN"/>
        </w:rPr>
        <w:t>10.</w:t>
      </w:r>
      <w:r>
        <w:rPr>
          <w:rFonts w:hint="default" w:ascii="Times New Roman" w:hAnsi="Times New Roman" w:eastAsia="仿宋_GB2312" w:cs="Times New Roman"/>
          <w:sz w:val="30"/>
          <w:szCs w:val="30"/>
        </w:rPr>
        <w:t>合同</w:t>
      </w:r>
      <w:r>
        <w:rPr>
          <w:rFonts w:hint="eastAsia" w:ascii="Times New Roman" w:hAnsi="Times New Roman" w:eastAsia="仿宋_GB2312" w:cs="Times New Roman"/>
          <w:sz w:val="30"/>
          <w:szCs w:val="30"/>
          <w:lang w:val="en-US" w:eastAsia="zh-CN"/>
        </w:rPr>
        <w:t>服务期限到期后，甲方根据政策规定及乙方管理服务情况可延续合同服务管理内容，但不再重新签订合同。</w:t>
      </w:r>
    </w:p>
    <w:p w14:paraId="787C7C4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val="0"/>
          <w:bCs w:val="0"/>
          <w:sz w:val="30"/>
          <w:szCs w:val="30"/>
          <w:lang w:val="en-US" w:eastAsia="zh-CN"/>
        </w:rPr>
        <w:t>11.</w:t>
      </w:r>
      <w:r>
        <w:rPr>
          <w:rFonts w:hint="eastAsia" w:ascii="仿宋_GB2312" w:hAnsi="仿宋_GB2312" w:eastAsia="仿宋_GB2312" w:cs="仿宋_GB2312"/>
          <w:sz w:val="30"/>
          <w:szCs w:val="30"/>
          <w:lang w:val="en-US" w:eastAsia="zh-CN"/>
        </w:rPr>
        <w:t>物业服务</w:t>
      </w:r>
      <w:r>
        <w:rPr>
          <w:rFonts w:hint="default" w:ascii="Times New Roman" w:hAnsi="Times New Roman" w:eastAsia="仿宋_GB2312" w:cs="Times New Roman"/>
          <w:sz w:val="30"/>
          <w:szCs w:val="30"/>
        </w:rPr>
        <w:t>合同期内，乙方每年须</w:t>
      </w:r>
      <w:r>
        <w:rPr>
          <w:rFonts w:hint="default" w:ascii="Times New Roman" w:hAnsi="Times New Roman" w:eastAsia="仿宋_GB2312" w:cs="Times New Roman"/>
          <w:sz w:val="30"/>
          <w:szCs w:val="30"/>
          <w:lang w:val="en-US" w:eastAsia="zh-CN"/>
        </w:rPr>
        <w:t>请第三方</w:t>
      </w:r>
      <w:r>
        <w:rPr>
          <w:rFonts w:hint="eastAsia" w:ascii="Times New Roman" w:hAnsi="Times New Roman" w:eastAsia="仿宋_GB2312" w:cs="Times New Roman"/>
          <w:sz w:val="30"/>
          <w:szCs w:val="30"/>
          <w:lang w:val="en-US" w:eastAsia="zh-CN"/>
        </w:rPr>
        <w:t>机构</w:t>
      </w:r>
      <w:r>
        <w:rPr>
          <w:rFonts w:hint="default" w:ascii="Times New Roman" w:hAnsi="Times New Roman" w:eastAsia="仿宋_GB2312" w:cs="Times New Roman"/>
          <w:sz w:val="30"/>
          <w:szCs w:val="30"/>
          <w:lang w:val="en-US" w:eastAsia="zh-CN"/>
        </w:rPr>
        <w:t>对小区</w:t>
      </w:r>
      <w:r>
        <w:rPr>
          <w:rFonts w:hint="default" w:ascii="Times New Roman" w:hAnsi="Times New Roman" w:eastAsia="仿宋_GB2312" w:cs="Times New Roman"/>
          <w:sz w:val="30"/>
          <w:szCs w:val="30"/>
        </w:rPr>
        <w:t>开展</w:t>
      </w:r>
      <w:r>
        <w:rPr>
          <w:rFonts w:hint="eastAsia" w:ascii="Times New Roman" w:hAnsi="Times New Roman" w:eastAsia="仿宋_GB2312" w:cs="Times New Roman"/>
          <w:sz w:val="30"/>
          <w:szCs w:val="30"/>
          <w:lang w:val="en-US" w:eastAsia="zh-CN"/>
        </w:rPr>
        <w:t>每年</w:t>
      </w:r>
      <w:r>
        <w:rPr>
          <w:rFonts w:hint="default" w:ascii="Times New Roman" w:hAnsi="Times New Roman" w:eastAsia="仿宋_GB2312" w:cs="Times New Roman"/>
          <w:sz w:val="30"/>
          <w:szCs w:val="30"/>
        </w:rPr>
        <w:t>不少于一次的客户满意度调查，</w:t>
      </w:r>
      <w:r>
        <w:rPr>
          <w:rFonts w:hint="default" w:ascii="Times New Roman" w:hAnsi="Times New Roman" w:eastAsia="仿宋_GB2312" w:cs="Times New Roman"/>
          <w:sz w:val="30"/>
          <w:szCs w:val="30"/>
          <w:lang w:val="en-US" w:eastAsia="zh-CN"/>
        </w:rPr>
        <w:t>调查结果由第三方直接向甲方出具。</w:t>
      </w:r>
    </w:p>
    <w:p w14:paraId="0AB98B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12.物业管理用房：</w:t>
      </w:r>
      <w:r>
        <w:rPr>
          <w:rFonts w:hint="eastAsia" w:ascii="仿宋_GB2312" w:hAnsi="仿宋_GB2312" w:eastAsia="仿宋_GB2312" w:cs="仿宋_GB2312"/>
          <w:sz w:val="30"/>
          <w:szCs w:val="30"/>
          <w:lang w:eastAsia="zh-CN"/>
        </w:rPr>
        <w:t>按照长政发【2009】27号《长沙市物业管理用房规定》提供物业管理服务用房装修标准简装。</w:t>
      </w:r>
    </w:p>
    <w:p w14:paraId="2569B4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outlineLvl w:val="9"/>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eastAsia="zh-CN"/>
        </w:rPr>
        <w:t>。</w:t>
      </w:r>
    </w:p>
    <w:p w14:paraId="1C49B505">
      <w:pPr>
        <w:pStyle w:val="2"/>
        <w:numPr>
          <w:ilvl w:val="0"/>
          <w:numId w:val="0"/>
        </w:numPr>
        <w:spacing w:line="360" w:lineRule="auto"/>
        <w:jc w:val="center"/>
        <w:rPr>
          <w:rFonts w:hint="eastAsia" w:ascii="宋体" w:hAnsi="宋体" w:eastAsia="宋体" w:cs="宋体"/>
          <w:b/>
          <w:bCs/>
          <w:color w:val="auto"/>
          <w:kern w:val="44"/>
          <w:sz w:val="44"/>
          <w:szCs w:val="44"/>
          <w:lang w:val="en-US" w:eastAsia="zh-CN" w:bidi="ar-SA"/>
        </w:rPr>
      </w:pPr>
    </w:p>
    <w:p w14:paraId="6B59F0FF">
      <w:pPr>
        <w:rPr>
          <w:rFonts w:hint="eastAsia" w:ascii="宋体" w:hAnsi="宋体" w:eastAsia="宋体" w:cs="宋体"/>
          <w:b/>
          <w:bCs/>
          <w:color w:val="auto"/>
          <w:kern w:val="44"/>
          <w:sz w:val="44"/>
          <w:szCs w:val="44"/>
          <w:lang w:val="en-US" w:eastAsia="zh-CN" w:bidi="ar-SA"/>
        </w:rPr>
      </w:pPr>
    </w:p>
    <w:p w14:paraId="784E3FEB">
      <w:pPr>
        <w:rPr>
          <w:rFonts w:hint="eastAsia" w:ascii="宋体" w:hAnsi="宋体" w:eastAsia="宋体" w:cs="宋体"/>
          <w:b/>
          <w:bCs/>
          <w:color w:val="auto"/>
          <w:kern w:val="44"/>
          <w:sz w:val="44"/>
          <w:szCs w:val="44"/>
          <w:lang w:val="en-US" w:eastAsia="zh-CN" w:bidi="ar-SA"/>
        </w:rPr>
      </w:pPr>
    </w:p>
    <w:p w14:paraId="19B7405A">
      <w:pPr>
        <w:rPr>
          <w:rFonts w:hint="eastAsia" w:ascii="宋体" w:hAnsi="宋体" w:eastAsia="宋体" w:cs="宋体"/>
          <w:b/>
          <w:bCs/>
          <w:color w:val="auto"/>
          <w:kern w:val="44"/>
          <w:sz w:val="44"/>
          <w:szCs w:val="44"/>
          <w:lang w:val="en-US" w:eastAsia="zh-CN" w:bidi="ar-SA"/>
        </w:rPr>
      </w:pPr>
    </w:p>
    <w:p w14:paraId="44065B91">
      <w:pPr>
        <w:rPr>
          <w:rFonts w:hint="eastAsia" w:ascii="宋体" w:hAnsi="宋体" w:eastAsia="宋体" w:cs="宋体"/>
          <w:b/>
          <w:bCs/>
          <w:color w:val="auto"/>
          <w:kern w:val="44"/>
          <w:sz w:val="44"/>
          <w:szCs w:val="44"/>
          <w:lang w:val="en-US" w:eastAsia="zh-CN" w:bidi="ar-SA"/>
        </w:rPr>
      </w:pPr>
    </w:p>
    <w:p w14:paraId="0E6509C1">
      <w:pPr>
        <w:rPr>
          <w:rFonts w:hint="eastAsia" w:ascii="宋体" w:hAnsi="宋体" w:eastAsia="宋体" w:cs="宋体"/>
          <w:b/>
          <w:bCs/>
          <w:color w:val="auto"/>
          <w:kern w:val="44"/>
          <w:sz w:val="44"/>
          <w:szCs w:val="44"/>
          <w:lang w:val="en-US" w:eastAsia="zh-CN" w:bidi="ar-SA"/>
        </w:rPr>
      </w:pPr>
    </w:p>
    <w:p w14:paraId="27F74A5E">
      <w:pPr>
        <w:rPr>
          <w:rFonts w:hint="eastAsia" w:ascii="宋体" w:hAnsi="宋体" w:eastAsia="宋体" w:cs="宋体"/>
          <w:b/>
          <w:bCs/>
          <w:color w:val="auto"/>
          <w:kern w:val="44"/>
          <w:sz w:val="44"/>
          <w:szCs w:val="44"/>
          <w:lang w:val="en-US" w:eastAsia="zh-CN" w:bidi="ar-SA"/>
        </w:rPr>
      </w:pPr>
    </w:p>
    <w:p w14:paraId="619F542A">
      <w:pPr>
        <w:rPr>
          <w:rFonts w:hint="eastAsia" w:ascii="宋体" w:hAnsi="宋体" w:eastAsia="宋体" w:cs="宋体"/>
          <w:b/>
          <w:bCs/>
          <w:color w:val="auto"/>
          <w:kern w:val="44"/>
          <w:sz w:val="44"/>
          <w:szCs w:val="44"/>
          <w:lang w:val="en-US" w:eastAsia="zh-CN" w:bidi="ar-SA"/>
        </w:rPr>
      </w:pPr>
    </w:p>
    <w:p w14:paraId="5CBE75E9">
      <w:pPr>
        <w:rPr>
          <w:rFonts w:hint="eastAsia" w:ascii="宋体" w:hAnsi="宋体" w:eastAsia="宋体" w:cs="宋体"/>
          <w:b/>
          <w:bCs/>
          <w:color w:val="auto"/>
          <w:kern w:val="44"/>
          <w:sz w:val="44"/>
          <w:szCs w:val="44"/>
          <w:lang w:val="en-US" w:eastAsia="zh-CN" w:bidi="ar-SA"/>
        </w:rPr>
      </w:pPr>
    </w:p>
    <w:p w14:paraId="05938E28">
      <w:pPr>
        <w:rPr>
          <w:rFonts w:hint="eastAsia" w:ascii="宋体" w:hAnsi="宋体" w:eastAsia="宋体" w:cs="宋体"/>
          <w:color w:val="auto"/>
          <w:lang w:val="en-US" w:eastAsia="zh-CN"/>
        </w:rPr>
      </w:pPr>
    </w:p>
    <w:p w14:paraId="5CE76A25">
      <w:pPr>
        <w:pStyle w:val="2"/>
        <w:numPr>
          <w:ilvl w:val="0"/>
          <w:numId w:val="1"/>
        </w:numPr>
        <w:spacing w:line="360" w:lineRule="auto"/>
        <w:jc w:val="center"/>
        <w:rPr>
          <w:rFonts w:hint="eastAsia" w:ascii="宋体" w:hAnsi="宋体" w:eastAsia="宋体" w:cs="宋体"/>
          <w:color w:val="auto"/>
          <w:highlight w:val="none"/>
        </w:rPr>
      </w:pPr>
      <w:bookmarkStart w:id="192" w:name="_Toc18487"/>
      <w:bookmarkStart w:id="193" w:name="_Toc5122"/>
      <w:bookmarkStart w:id="194" w:name="_Toc10299"/>
      <w:bookmarkStart w:id="195" w:name="_Toc15870"/>
      <w:bookmarkStart w:id="196" w:name="_Toc15824"/>
      <w:r>
        <w:rPr>
          <w:rFonts w:hint="eastAsia" w:ascii="宋体" w:hAnsi="宋体" w:eastAsia="宋体" w:cs="宋体"/>
          <w:color w:val="auto"/>
          <w:highlight w:val="none"/>
        </w:rPr>
        <w:t>合同格式</w:t>
      </w:r>
      <w:bookmarkEnd w:id="190"/>
      <w:bookmarkEnd w:id="192"/>
      <w:bookmarkEnd w:id="193"/>
      <w:bookmarkEnd w:id="194"/>
      <w:bookmarkEnd w:id="195"/>
      <w:bookmarkEnd w:id="196"/>
    </w:p>
    <w:p w14:paraId="3AC21310">
      <w:pPr>
        <w:rPr>
          <w:rFonts w:hint="eastAsia" w:ascii="宋体" w:hAnsi="宋体" w:eastAsia="宋体" w:cs="宋体"/>
          <w:color w:val="auto"/>
          <w:sz w:val="44"/>
          <w:szCs w:val="52"/>
        </w:rPr>
      </w:pPr>
    </w:p>
    <w:p w14:paraId="0C5C9E11">
      <w:pPr>
        <w:jc w:val="center"/>
        <w:rPr>
          <w:rFonts w:hint="eastAsia" w:ascii="宋体" w:hAnsi="宋体" w:eastAsia="宋体" w:cs="宋体"/>
          <w:bCs/>
          <w:color w:val="auto"/>
          <w:sz w:val="52"/>
          <w:szCs w:val="72"/>
        </w:rPr>
      </w:pPr>
      <w:r>
        <w:rPr>
          <w:rFonts w:hint="eastAsia" w:ascii="宋体" w:hAnsi="宋体" w:eastAsia="宋体" w:cs="宋体"/>
          <w:b w:val="0"/>
          <w:bCs/>
          <w:color w:val="auto"/>
          <w:sz w:val="52"/>
          <w:szCs w:val="72"/>
        </w:rPr>
        <w:t>【</w:t>
      </w:r>
      <w:r>
        <w:rPr>
          <w:rFonts w:hint="eastAsia" w:ascii="宋体" w:hAnsi="宋体" w:eastAsia="宋体" w:cs="宋体"/>
          <w:b w:val="0"/>
          <w:bCs/>
          <w:color w:val="auto"/>
          <w:sz w:val="52"/>
          <w:szCs w:val="72"/>
          <w:lang w:val="en-US" w:eastAsia="zh-CN"/>
        </w:rPr>
        <w:t>同兴佳苑</w:t>
      </w:r>
      <w:r>
        <w:rPr>
          <w:rFonts w:hint="eastAsia" w:ascii="宋体" w:hAnsi="宋体" w:eastAsia="宋体" w:cs="宋体"/>
          <w:b w:val="0"/>
          <w:bCs/>
          <w:color w:val="auto"/>
          <w:sz w:val="52"/>
          <w:szCs w:val="72"/>
        </w:rPr>
        <w:t>】</w:t>
      </w:r>
    </w:p>
    <w:p w14:paraId="4145F8A6">
      <w:pPr>
        <w:jc w:val="center"/>
        <w:outlineLvl w:val="9"/>
        <w:rPr>
          <w:rFonts w:hint="eastAsia" w:ascii="宋体" w:hAnsi="宋体" w:eastAsia="宋体" w:cs="宋体"/>
          <w:b w:val="0"/>
          <w:bCs/>
          <w:color w:val="auto"/>
          <w:sz w:val="52"/>
          <w:szCs w:val="72"/>
        </w:rPr>
      </w:pPr>
      <w:r>
        <w:rPr>
          <w:rFonts w:hint="eastAsia" w:ascii="宋体" w:hAnsi="宋体" w:eastAsia="宋体" w:cs="宋体"/>
          <w:b w:val="0"/>
          <w:bCs/>
          <w:color w:val="auto"/>
          <w:sz w:val="52"/>
          <w:szCs w:val="72"/>
          <w:lang w:val="en-US" w:eastAsia="zh-CN"/>
        </w:rPr>
        <w:t>前期</w:t>
      </w:r>
      <w:r>
        <w:rPr>
          <w:rFonts w:hint="eastAsia" w:ascii="宋体" w:hAnsi="宋体" w:eastAsia="宋体" w:cs="宋体"/>
          <w:b w:val="0"/>
          <w:bCs/>
          <w:color w:val="auto"/>
          <w:sz w:val="52"/>
          <w:szCs w:val="72"/>
        </w:rPr>
        <w:t>物业管理服务合同</w:t>
      </w:r>
    </w:p>
    <w:p w14:paraId="0B36CEFA">
      <w:pPr>
        <w:rPr>
          <w:rFonts w:hint="eastAsia" w:ascii="宋体" w:hAnsi="宋体" w:eastAsia="宋体" w:cs="宋体"/>
          <w:color w:val="auto"/>
        </w:rPr>
      </w:pPr>
    </w:p>
    <w:p w14:paraId="47BA1081">
      <w:pPr>
        <w:rPr>
          <w:rFonts w:hint="eastAsia" w:ascii="宋体" w:hAnsi="宋体" w:eastAsia="宋体" w:cs="宋体"/>
          <w:color w:val="auto"/>
        </w:rPr>
      </w:pPr>
    </w:p>
    <w:p w14:paraId="3AD6E046">
      <w:pPr>
        <w:rPr>
          <w:rFonts w:hint="eastAsia" w:ascii="宋体" w:hAnsi="宋体" w:eastAsia="宋体" w:cs="宋体"/>
          <w:color w:val="auto"/>
        </w:rPr>
      </w:pPr>
    </w:p>
    <w:p w14:paraId="6117E31A">
      <w:pPr>
        <w:rPr>
          <w:rFonts w:hint="eastAsia" w:ascii="宋体" w:hAnsi="宋体" w:eastAsia="宋体" w:cs="宋体"/>
          <w:color w:val="auto"/>
        </w:rPr>
      </w:pPr>
    </w:p>
    <w:p w14:paraId="545E9064">
      <w:pPr>
        <w:rPr>
          <w:rFonts w:hint="eastAsia" w:ascii="宋体" w:hAnsi="宋体" w:eastAsia="宋体" w:cs="宋体"/>
          <w:color w:val="auto"/>
        </w:rPr>
      </w:pPr>
    </w:p>
    <w:p w14:paraId="121245B0">
      <w:pPr>
        <w:rPr>
          <w:rFonts w:hint="eastAsia" w:ascii="宋体" w:hAnsi="宋体" w:eastAsia="宋体" w:cs="宋体"/>
          <w:color w:val="auto"/>
        </w:rPr>
      </w:pPr>
    </w:p>
    <w:p w14:paraId="6EA4217D">
      <w:pPr>
        <w:rPr>
          <w:rFonts w:hint="eastAsia" w:ascii="宋体" w:hAnsi="宋体" w:eastAsia="宋体" w:cs="宋体"/>
          <w:color w:val="auto"/>
        </w:rPr>
      </w:pPr>
    </w:p>
    <w:p w14:paraId="2833BCC9">
      <w:pPr>
        <w:rPr>
          <w:rFonts w:hint="eastAsia" w:ascii="宋体" w:hAnsi="宋体" w:eastAsia="宋体" w:cs="宋体"/>
          <w:color w:val="auto"/>
        </w:rPr>
      </w:pPr>
    </w:p>
    <w:p w14:paraId="114E6363">
      <w:pPr>
        <w:rPr>
          <w:rFonts w:hint="eastAsia" w:ascii="宋体" w:hAnsi="宋体" w:eastAsia="宋体" w:cs="宋体"/>
          <w:color w:val="auto"/>
        </w:rPr>
      </w:pPr>
    </w:p>
    <w:p w14:paraId="708030F9">
      <w:pPr>
        <w:rPr>
          <w:rFonts w:hint="eastAsia" w:ascii="宋体" w:hAnsi="宋体" w:eastAsia="宋体" w:cs="宋体"/>
          <w:color w:val="auto"/>
        </w:rPr>
      </w:pPr>
    </w:p>
    <w:p w14:paraId="673F45C8">
      <w:pPr>
        <w:rPr>
          <w:rFonts w:hint="eastAsia" w:ascii="宋体" w:hAnsi="宋体" w:eastAsia="宋体" w:cs="宋体"/>
          <w:color w:val="auto"/>
        </w:rPr>
      </w:pPr>
    </w:p>
    <w:p w14:paraId="145FB845">
      <w:pPr>
        <w:rPr>
          <w:rFonts w:hint="eastAsia" w:ascii="宋体" w:hAnsi="宋体" w:eastAsia="宋体" w:cs="宋体"/>
          <w:color w:val="auto"/>
        </w:rPr>
      </w:pPr>
    </w:p>
    <w:p w14:paraId="3AD0ADBC">
      <w:pPr>
        <w:rPr>
          <w:rFonts w:hint="eastAsia" w:ascii="宋体" w:hAnsi="宋体" w:eastAsia="宋体" w:cs="宋体"/>
          <w:color w:val="auto"/>
        </w:rPr>
      </w:pPr>
    </w:p>
    <w:p w14:paraId="1F86D4A4">
      <w:pPr>
        <w:rPr>
          <w:rFonts w:hint="eastAsia" w:ascii="宋体" w:hAnsi="宋体" w:eastAsia="宋体" w:cs="宋体"/>
          <w:color w:val="auto"/>
        </w:rPr>
      </w:pPr>
    </w:p>
    <w:p w14:paraId="7CEDE984">
      <w:pPr>
        <w:rPr>
          <w:rFonts w:hint="eastAsia" w:ascii="宋体" w:hAnsi="宋体" w:eastAsia="宋体" w:cs="宋体"/>
          <w:color w:val="auto"/>
        </w:rPr>
      </w:pPr>
    </w:p>
    <w:p w14:paraId="123E3A7F">
      <w:pPr>
        <w:rPr>
          <w:rFonts w:hint="eastAsia" w:ascii="宋体" w:hAnsi="宋体" w:eastAsia="宋体" w:cs="宋体"/>
          <w:color w:val="auto"/>
        </w:rPr>
      </w:pPr>
    </w:p>
    <w:p w14:paraId="7CABD635">
      <w:pPr>
        <w:rPr>
          <w:rFonts w:hint="eastAsia" w:ascii="宋体" w:hAnsi="宋体" w:eastAsia="宋体" w:cs="宋体"/>
          <w:color w:val="auto"/>
        </w:rPr>
      </w:pPr>
    </w:p>
    <w:p w14:paraId="6BE9B823">
      <w:pPr>
        <w:rPr>
          <w:rFonts w:hint="eastAsia" w:ascii="宋体" w:hAnsi="宋体" w:eastAsia="宋体" w:cs="宋体"/>
          <w:color w:val="auto"/>
          <w:sz w:val="32"/>
          <w:szCs w:val="40"/>
        </w:rPr>
      </w:pPr>
    </w:p>
    <w:p w14:paraId="0900F2E6">
      <w:pPr>
        <w:jc w:val="center"/>
        <w:rPr>
          <w:rFonts w:hint="eastAsia" w:ascii="宋体" w:hAnsi="宋体" w:eastAsia="宋体" w:cs="宋体"/>
          <w:b w:val="0"/>
          <w:bCs/>
          <w:color w:val="auto"/>
          <w:sz w:val="36"/>
          <w:szCs w:val="44"/>
        </w:rPr>
      </w:pPr>
      <w:r>
        <w:rPr>
          <w:rFonts w:hint="eastAsia" w:ascii="宋体" w:hAnsi="宋体" w:eastAsia="宋体" w:cs="宋体"/>
          <w:b w:val="0"/>
          <w:bCs/>
          <w:color w:val="auto"/>
          <w:sz w:val="36"/>
          <w:szCs w:val="44"/>
        </w:rPr>
        <w:t xml:space="preserve">长沙市雨花城市建设投资集团有限公司 </w:t>
      </w:r>
    </w:p>
    <w:p w14:paraId="157D9655">
      <w:pPr>
        <w:jc w:val="center"/>
        <w:rPr>
          <w:rFonts w:hint="eastAsia" w:ascii="宋体" w:hAnsi="宋体" w:eastAsia="宋体" w:cs="宋体"/>
          <w:color w:val="auto"/>
        </w:rPr>
      </w:pPr>
      <w:r>
        <w:rPr>
          <w:rFonts w:hint="eastAsia" w:ascii="宋体" w:hAnsi="宋体" w:eastAsia="宋体" w:cs="宋体"/>
          <w:b w:val="0"/>
          <w:bCs/>
          <w:color w:val="auto"/>
          <w:sz w:val="36"/>
          <w:szCs w:val="44"/>
          <w:lang w:val="en-US" w:eastAsia="zh-CN"/>
        </w:rPr>
        <w:t xml:space="preserve">    年  月</w:t>
      </w:r>
      <w:r>
        <w:rPr>
          <w:rFonts w:hint="eastAsia" w:ascii="宋体" w:hAnsi="宋体" w:eastAsia="宋体" w:cs="宋体"/>
          <w:b w:val="0"/>
          <w:bCs/>
          <w:color w:val="auto"/>
          <w:sz w:val="36"/>
          <w:szCs w:val="44"/>
        </w:rPr>
        <w:t xml:space="preserve">    </w:t>
      </w:r>
      <w:r>
        <w:rPr>
          <w:rFonts w:hint="eastAsia" w:ascii="宋体" w:hAnsi="宋体" w:eastAsia="宋体" w:cs="宋体"/>
          <w:b/>
          <w:color w:val="auto"/>
          <w:sz w:val="36"/>
          <w:szCs w:val="44"/>
        </w:rPr>
        <w:t xml:space="preserve">  </w:t>
      </w:r>
      <w:r>
        <w:rPr>
          <w:rFonts w:hint="eastAsia" w:ascii="宋体" w:hAnsi="宋体" w:eastAsia="宋体" w:cs="宋体"/>
          <w:color w:val="auto"/>
          <w:sz w:val="36"/>
          <w:szCs w:val="44"/>
        </w:rPr>
        <w:t xml:space="preserve">  </w:t>
      </w:r>
      <w:r>
        <w:rPr>
          <w:rFonts w:hint="eastAsia" w:ascii="宋体" w:hAnsi="宋体" w:eastAsia="宋体" w:cs="宋体"/>
          <w:color w:val="auto"/>
          <w:sz w:val="32"/>
          <w:szCs w:val="40"/>
        </w:rPr>
        <w:t xml:space="preserve">      </w:t>
      </w:r>
      <w:r>
        <w:rPr>
          <w:rFonts w:hint="eastAsia" w:ascii="宋体" w:hAnsi="宋体" w:eastAsia="宋体" w:cs="宋体"/>
          <w:color w:val="auto"/>
        </w:rPr>
        <w:t xml:space="preserve">           </w:t>
      </w:r>
    </w:p>
    <w:p w14:paraId="33E079C3">
      <w:pPr>
        <w:rPr>
          <w:rFonts w:hint="eastAsia" w:ascii="宋体" w:hAnsi="宋体" w:eastAsia="宋体" w:cs="宋体"/>
          <w:color w:val="auto"/>
        </w:rPr>
      </w:pPr>
    </w:p>
    <w:p w14:paraId="5F077922">
      <w:pPr>
        <w:rPr>
          <w:rFonts w:hint="eastAsia" w:ascii="宋体" w:hAnsi="宋体" w:eastAsia="宋体" w:cs="宋体"/>
          <w:color w:val="auto"/>
        </w:rPr>
      </w:pPr>
    </w:p>
    <w:p w14:paraId="7D058F7C">
      <w:pPr>
        <w:rPr>
          <w:rFonts w:hint="eastAsia" w:ascii="宋体" w:hAnsi="宋体" w:eastAsia="宋体" w:cs="宋体"/>
          <w:color w:val="auto"/>
        </w:rPr>
      </w:pPr>
    </w:p>
    <w:p w14:paraId="5E86B4DD">
      <w:pPr>
        <w:rPr>
          <w:rFonts w:hint="eastAsia" w:ascii="宋体" w:hAnsi="宋体" w:eastAsia="宋体" w:cs="宋体"/>
          <w:color w:val="auto"/>
        </w:rPr>
      </w:pPr>
    </w:p>
    <w:p w14:paraId="475D2607">
      <w:pPr>
        <w:rPr>
          <w:rFonts w:hint="eastAsia" w:ascii="宋体" w:hAnsi="宋体" w:eastAsia="宋体" w:cs="宋体"/>
          <w:color w:val="auto"/>
        </w:rPr>
      </w:pPr>
    </w:p>
    <w:p w14:paraId="18055928">
      <w:pPr>
        <w:rPr>
          <w:rFonts w:hint="eastAsia" w:ascii="宋体" w:hAnsi="宋体" w:eastAsia="宋体" w:cs="宋体"/>
          <w:color w:val="auto"/>
        </w:rPr>
      </w:pPr>
    </w:p>
    <w:p w14:paraId="4525E8CC">
      <w:pPr>
        <w:rPr>
          <w:rFonts w:hint="eastAsia" w:ascii="宋体" w:hAnsi="宋体" w:eastAsia="宋体" w:cs="宋体"/>
          <w:color w:val="auto"/>
        </w:rPr>
      </w:pPr>
    </w:p>
    <w:p w14:paraId="49EFB0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3C7EED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4A2772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1D86DF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7AC068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lang w:eastAsia="zh-CN"/>
        </w:rPr>
        <w:t>前期</w:t>
      </w:r>
      <w:r>
        <w:rPr>
          <w:rFonts w:hint="eastAsia" w:ascii="宋体" w:hAnsi="宋体" w:eastAsia="宋体" w:cs="宋体"/>
          <w:b/>
          <w:color w:val="auto"/>
          <w:sz w:val="30"/>
          <w:szCs w:val="30"/>
        </w:rPr>
        <w:t>物业管理服务合同</w:t>
      </w:r>
    </w:p>
    <w:p w14:paraId="648DCB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1E0140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第一章  总则</w:t>
      </w:r>
    </w:p>
    <w:p w14:paraId="011F81B0">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cs="宋体"/>
          <w:b/>
          <w:color w:val="auto"/>
          <w:sz w:val="30"/>
          <w:szCs w:val="30"/>
        </w:rPr>
      </w:pPr>
    </w:p>
    <w:p w14:paraId="3229890C">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第一条</w:t>
      </w:r>
      <w:r>
        <w:rPr>
          <w:rFonts w:hint="eastAsia" w:ascii="宋体" w:hAnsi="宋体" w:eastAsia="宋体" w:cs="宋体"/>
          <w:color w:val="auto"/>
          <w:sz w:val="30"/>
          <w:szCs w:val="30"/>
        </w:rPr>
        <w:t xml:space="preserve">  本合同当事人</w:t>
      </w:r>
    </w:p>
    <w:p w14:paraId="35996F05">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甲方</w:t>
      </w:r>
      <w:r>
        <w:rPr>
          <w:rFonts w:hint="eastAsia" w:ascii="宋体" w:hAnsi="宋体" w:eastAsia="宋体" w:cs="宋体"/>
          <w:b/>
          <w:color w:val="auto"/>
          <w:sz w:val="30"/>
          <w:szCs w:val="30"/>
          <w:lang w:eastAsia="zh-CN"/>
        </w:rPr>
        <w:t>：</w:t>
      </w:r>
    </w:p>
    <w:p w14:paraId="0359192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rPr>
        <w:t>法定代表人</w:t>
      </w:r>
      <w:r>
        <w:rPr>
          <w:rFonts w:hint="eastAsia" w:ascii="宋体" w:hAnsi="宋体" w:eastAsia="宋体" w:cs="宋体"/>
          <w:color w:val="auto"/>
          <w:sz w:val="30"/>
          <w:szCs w:val="30"/>
          <w:lang w:eastAsia="zh-CN"/>
        </w:rPr>
        <w:t>：</w:t>
      </w:r>
    </w:p>
    <w:p w14:paraId="72D2AF0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rPr>
        <w:t>法定地址：</w:t>
      </w:r>
    </w:p>
    <w:p w14:paraId="0557335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rPr>
        <w:t>联系电话</w:t>
      </w:r>
      <w:r>
        <w:rPr>
          <w:rFonts w:hint="eastAsia" w:ascii="宋体" w:hAnsi="宋体" w:eastAsia="宋体" w:cs="宋体"/>
          <w:color w:val="auto"/>
          <w:sz w:val="30"/>
          <w:szCs w:val="30"/>
          <w:lang w:eastAsia="zh-CN"/>
        </w:rPr>
        <w:t>：</w:t>
      </w:r>
    </w:p>
    <w:p w14:paraId="4B7F9E8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宋体" w:hAnsi="宋体" w:eastAsia="宋体" w:cs="宋体"/>
          <w:color w:val="auto"/>
          <w:sz w:val="30"/>
          <w:szCs w:val="30"/>
          <w:lang w:val="en-US"/>
        </w:rPr>
      </w:pPr>
      <w:r>
        <w:rPr>
          <w:rFonts w:hint="eastAsia" w:ascii="宋体" w:hAnsi="宋体" w:eastAsia="宋体" w:cs="宋体"/>
          <w:color w:val="auto"/>
          <w:sz w:val="30"/>
          <w:szCs w:val="30"/>
        </w:rPr>
        <w:t>邮编</w:t>
      </w:r>
      <w:r>
        <w:rPr>
          <w:rFonts w:hint="eastAsia" w:ascii="宋体" w:hAnsi="宋体" w:eastAsia="宋体" w:cs="宋体"/>
          <w:color w:val="auto"/>
          <w:sz w:val="30"/>
          <w:szCs w:val="30"/>
          <w:lang w:eastAsia="zh-CN"/>
        </w:rPr>
        <w:t>：</w:t>
      </w:r>
    </w:p>
    <w:p w14:paraId="2F18695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p>
    <w:p w14:paraId="58D45B1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宋体" w:hAnsi="宋体" w:eastAsia="宋体" w:cs="宋体"/>
          <w:color w:val="auto"/>
          <w:sz w:val="30"/>
          <w:szCs w:val="30"/>
        </w:rPr>
      </w:pPr>
    </w:p>
    <w:p w14:paraId="569239E2">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b/>
          <w:color w:val="auto"/>
          <w:sz w:val="30"/>
          <w:szCs w:val="30"/>
          <w:lang w:eastAsia="zh-CN"/>
        </w:rPr>
      </w:pPr>
      <w:r>
        <w:rPr>
          <w:rFonts w:hint="eastAsia" w:ascii="宋体" w:hAnsi="宋体" w:eastAsia="宋体" w:cs="宋体"/>
          <w:b/>
          <w:color w:val="auto"/>
          <w:sz w:val="30"/>
          <w:szCs w:val="30"/>
        </w:rPr>
        <w:t>乙方</w:t>
      </w:r>
      <w:r>
        <w:rPr>
          <w:rFonts w:hint="eastAsia" w:ascii="宋体" w:hAnsi="宋体" w:eastAsia="宋体" w:cs="宋体"/>
          <w:b/>
          <w:color w:val="auto"/>
          <w:sz w:val="30"/>
          <w:szCs w:val="30"/>
          <w:lang w:eastAsia="zh-CN"/>
        </w:rPr>
        <w:t>：</w:t>
      </w:r>
    </w:p>
    <w:p w14:paraId="38862A1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法定代表人：</w:t>
      </w:r>
    </w:p>
    <w:p w14:paraId="113E9CF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rPr>
        <w:t>法定地址</w:t>
      </w:r>
      <w:r>
        <w:rPr>
          <w:rFonts w:hint="eastAsia" w:ascii="宋体" w:hAnsi="宋体" w:eastAsia="宋体" w:cs="宋体"/>
          <w:color w:val="auto"/>
          <w:sz w:val="30"/>
          <w:szCs w:val="30"/>
          <w:lang w:eastAsia="zh-CN"/>
        </w:rPr>
        <w:t>：</w:t>
      </w:r>
    </w:p>
    <w:p w14:paraId="5C797CD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rPr>
        <w:t>联系电话</w:t>
      </w:r>
      <w:r>
        <w:rPr>
          <w:rFonts w:hint="eastAsia" w:ascii="宋体" w:hAnsi="宋体" w:eastAsia="宋体" w:cs="宋体"/>
          <w:color w:val="auto"/>
          <w:sz w:val="30"/>
          <w:szCs w:val="30"/>
          <w:lang w:eastAsia="zh-CN"/>
        </w:rPr>
        <w:t>：</w:t>
      </w:r>
    </w:p>
    <w:p w14:paraId="184BBC2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rPr>
        <w:t>邮编</w:t>
      </w:r>
      <w:r>
        <w:rPr>
          <w:rFonts w:hint="eastAsia" w:ascii="宋体" w:hAnsi="宋体" w:eastAsia="宋体" w:cs="宋体"/>
          <w:color w:val="auto"/>
          <w:sz w:val="30"/>
          <w:szCs w:val="30"/>
          <w:lang w:eastAsia="zh-CN"/>
        </w:rPr>
        <w:t>：</w:t>
      </w:r>
    </w:p>
    <w:p w14:paraId="48298AE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p>
    <w:p w14:paraId="1EB2FDD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根据国家、湖南地方政府有关物业管理法律、法规和政策的规定，双方在自愿、平等、协商一致的基础上，</w:t>
      </w:r>
      <w:r>
        <w:rPr>
          <w:rFonts w:hint="eastAsia" w:ascii="宋体" w:hAnsi="宋体" w:eastAsia="宋体" w:cs="宋体"/>
          <w:color w:val="auto"/>
          <w:sz w:val="30"/>
          <w:szCs w:val="30"/>
          <w:lang w:val="en-US" w:eastAsia="zh-CN"/>
        </w:rPr>
        <w:t>甲方与乙方特订立本合同。</w:t>
      </w:r>
    </w:p>
    <w:p w14:paraId="2FD73C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 xml:space="preserve">                </w:t>
      </w:r>
    </w:p>
    <w:p w14:paraId="0E71EF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第二章  物业管理区域概况</w:t>
      </w:r>
    </w:p>
    <w:p w14:paraId="1BBDA108">
      <w:pPr>
        <w:keepNext w:val="0"/>
        <w:keepLines w:val="0"/>
        <w:pageBreakBefore w:val="0"/>
        <w:widowControl w:val="0"/>
        <w:kinsoku/>
        <w:wordWrap/>
        <w:overflowPunct/>
        <w:topLinePunct w:val="0"/>
        <w:autoSpaceDE/>
        <w:autoSpaceDN/>
        <w:bidi w:val="0"/>
        <w:adjustRightInd/>
        <w:snapToGrid/>
        <w:spacing w:line="560" w:lineRule="exact"/>
        <w:ind w:firstLine="566" w:firstLineChars="18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第二条</w:t>
      </w:r>
      <w:r>
        <w:rPr>
          <w:rFonts w:hint="eastAsia" w:ascii="宋体" w:hAnsi="宋体" w:eastAsia="宋体" w:cs="宋体"/>
          <w:color w:val="auto"/>
          <w:sz w:val="30"/>
          <w:szCs w:val="30"/>
        </w:rPr>
        <w:t xml:space="preserve">  物业管理区域基本情况</w:t>
      </w:r>
    </w:p>
    <w:p w14:paraId="3F9B7D7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rPr>
        <w:t>物业名称：</w:t>
      </w:r>
      <w:r>
        <w:rPr>
          <w:rFonts w:hint="eastAsia" w:ascii="宋体" w:hAnsi="宋体" w:eastAsia="宋体" w:cs="宋体"/>
          <w:color w:val="auto"/>
          <w:sz w:val="30"/>
          <w:szCs w:val="30"/>
          <w:lang w:val="en-US" w:eastAsia="zh-CN"/>
        </w:rPr>
        <w:t>同兴佳苑</w:t>
      </w:r>
    </w:p>
    <w:p w14:paraId="28F1177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物业类型</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高层住宅</w:t>
      </w:r>
    </w:p>
    <w:p w14:paraId="0F8198D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highlight w:val="none"/>
          <w:lang w:val="en-US" w:eastAsia="zh-CN"/>
        </w:rPr>
      </w:pPr>
      <w:r>
        <w:rPr>
          <w:rFonts w:hint="eastAsia" w:ascii="宋体" w:hAnsi="宋体" w:eastAsia="宋体" w:cs="宋体"/>
          <w:color w:val="auto"/>
          <w:sz w:val="30"/>
          <w:szCs w:val="30"/>
        </w:rPr>
        <w:t>坐落位置</w:t>
      </w:r>
      <w:r>
        <w:rPr>
          <w:rFonts w:hint="eastAsia" w:ascii="宋体" w:hAnsi="宋体" w:eastAsia="宋体" w:cs="宋体"/>
          <w:color w:val="auto"/>
          <w:sz w:val="30"/>
          <w:szCs w:val="30"/>
          <w:lang w:eastAsia="zh-CN"/>
        </w:rPr>
        <w:t>：</w:t>
      </w:r>
      <w:r>
        <w:rPr>
          <w:rFonts w:hint="eastAsia" w:ascii="仿宋_GB2312" w:hAnsi="仿宋_GB2312" w:eastAsia="仿宋_GB2312" w:cs="仿宋_GB2312"/>
          <w:sz w:val="30"/>
          <w:szCs w:val="30"/>
          <w:highlight w:val="none"/>
          <w:lang w:val="en-US" w:eastAsia="zh-CN"/>
        </w:rPr>
        <w:t>同升街道新兴村</w:t>
      </w:r>
    </w:p>
    <w:p w14:paraId="5ECFA22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eastAsia" w:ascii="宋体" w:hAnsi="宋体" w:eastAsia="宋体" w:cs="宋体"/>
          <w:color w:val="auto"/>
          <w:sz w:val="30"/>
          <w:szCs w:val="30"/>
          <w:highlight w:val="none"/>
          <w:lang w:val="en-US" w:eastAsia="zh-CN"/>
        </w:rPr>
      </w:pPr>
      <w:r>
        <w:rPr>
          <w:rFonts w:hint="eastAsia" w:ascii="宋体" w:hAnsi="宋体" w:eastAsia="宋体" w:cs="宋体"/>
          <w:color w:val="auto"/>
          <w:sz w:val="30"/>
          <w:szCs w:val="30"/>
        </w:rPr>
        <w:t>总建筑面积：</w:t>
      </w:r>
      <w:r>
        <w:rPr>
          <w:rFonts w:hint="eastAsia" w:ascii="宋体" w:hAnsi="宋体" w:eastAsia="宋体" w:cs="宋体"/>
          <w:color w:val="auto"/>
          <w:sz w:val="30"/>
          <w:szCs w:val="30"/>
          <w:highlight w:val="none"/>
          <w:lang w:val="en-US" w:eastAsia="zh-CN"/>
        </w:rPr>
        <w:t>111102.35㎡，其中住宅75552.54㎡，商业4473.45㎡，最终均以实测数据为准；</w:t>
      </w:r>
    </w:p>
    <w:p w14:paraId="645F35F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楼栋数：高层住宅</w:t>
      </w:r>
      <w:r>
        <w:rPr>
          <w:rFonts w:hint="eastAsia" w:ascii="宋体" w:hAnsi="宋体" w:eastAsia="宋体" w:cs="宋体"/>
          <w:color w:val="auto"/>
          <w:sz w:val="30"/>
          <w:szCs w:val="30"/>
          <w:highlight w:val="none"/>
          <w:lang w:val="en-US" w:eastAsia="zh-CN"/>
        </w:rPr>
        <w:t>10</w:t>
      </w:r>
      <w:r>
        <w:rPr>
          <w:rFonts w:hint="eastAsia" w:ascii="宋体" w:hAnsi="宋体" w:eastAsia="宋体" w:cs="宋体"/>
          <w:color w:val="auto"/>
          <w:sz w:val="30"/>
          <w:szCs w:val="30"/>
          <w:highlight w:val="none"/>
        </w:rPr>
        <w:t>栋、商业</w:t>
      </w:r>
      <w:r>
        <w:rPr>
          <w:rFonts w:hint="eastAsia" w:ascii="宋体" w:hAnsi="宋体" w:eastAsia="宋体" w:cs="宋体"/>
          <w:color w:val="auto"/>
          <w:sz w:val="30"/>
          <w:szCs w:val="30"/>
          <w:highlight w:val="none"/>
          <w:lang w:val="en-US" w:eastAsia="zh-CN"/>
        </w:rPr>
        <w:t>4</w:t>
      </w:r>
      <w:r>
        <w:rPr>
          <w:rFonts w:hint="eastAsia" w:ascii="宋体" w:hAnsi="宋体" w:eastAsia="宋体" w:cs="宋体"/>
          <w:color w:val="auto"/>
          <w:sz w:val="30"/>
          <w:szCs w:val="30"/>
          <w:highlight w:val="none"/>
        </w:rPr>
        <w:t>栋</w:t>
      </w:r>
    </w:p>
    <w:p w14:paraId="033C470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总套数：80</w:t>
      </w:r>
      <w:r>
        <w:rPr>
          <w:rFonts w:hint="eastAsia" w:ascii="宋体" w:hAnsi="宋体" w:eastAsia="宋体" w:cs="宋体"/>
          <w:color w:val="auto"/>
          <w:sz w:val="30"/>
          <w:szCs w:val="30"/>
          <w:highlight w:val="none"/>
          <w:lang w:val="en-US" w:eastAsia="zh-CN"/>
        </w:rPr>
        <w:t>6</w:t>
      </w:r>
      <w:r>
        <w:rPr>
          <w:rFonts w:hint="eastAsia" w:ascii="宋体" w:hAnsi="宋体" w:eastAsia="宋体" w:cs="宋体"/>
          <w:color w:val="auto"/>
          <w:sz w:val="30"/>
          <w:szCs w:val="30"/>
          <w:highlight w:val="none"/>
        </w:rPr>
        <w:t>套</w:t>
      </w:r>
    </w:p>
    <w:p w14:paraId="131C92A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地上停车位：</w:t>
      </w:r>
      <w:r>
        <w:rPr>
          <w:rFonts w:hint="eastAsia" w:ascii="宋体" w:hAnsi="宋体" w:eastAsia="宋体" w:cs="宋体"/>
          <w:color w:val="auto"/>
          <w:sz w:val="30"/>
          <w:szCs w:val="30"/>
          <w:highlight w:val="none"/>
          <w:lang w:val="en-US" w:eastAsia="zh-CN"/>
        </w:rPr>
        <w:t>30</w:t>
      </w:r>
      <w:r>
        <w:rPr>
          <w:rFonts w:hint="eastAsia" w:ascii="宋体" w:hAnsi="宋体" w:eastAsia="宋体" w:cs="宋体"/>
          <w:color w:val="auto"/>
          <w:sz w:val="30"/>
          <w:szCs w:val="30"/>
          <w:highlight w:val="none"/>
        </w:rPr>
        <w:t>个</w:t>
      </w:r>
    </w:p>
    <w:p w14:paraId="6BF85BB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highlight w:val="none"/>
        </w:rPr>
        <w:t>地下停车位：</w:t>
      </w:r>
      <w:r>
        <w:rPr>
          <w:rFonts w:hint="eastAsia" w:ascii="宋体" w:hAnsi="宋体" w:eastAsia="宋体" w:cs="宋体"/>
          <w:color w:val="auto"/>
          <w:sz w:val="30"/>
          <w:szCs w:val="30"/>
          <w:highlight w:val="none"/>
          <w:lang w:val="en-US" w:eastAsia="zh-CN"/>
        </w:rPr>
        <w:t>668</w:t>
      </w:r>
      <w:r>
        <w:rPr>
          <w:rFonts w:hint="eastAsia" w:ascii="宋体" w:hAnsi="宋体" w:eastAsia="宋体" w:cs="宋体"/>
          <w:color w:val="auto"/>
          <w:sz w:val="30"/>
          <w:szCs w:val="30"/>
          <w:highlight w:val="none"/>
        </w:rPr>
        <w:t>个</w:t>
      </w:r>
    </w:p>
    <w:p w14:paraId="7CA078A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上述指标，最终以长沙市相关部门对本物业办理产权的数据为准；如相关指标变化，不影响本合同各项条款的履行。</w:t>
      </w:r>
    </w:p>
    <w:p w14:paraId="447707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06AD39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第三章   物业管理事项</w:t>
      </w:r>
    </w:p>
    <w:p w14:paraId="4F99D739">
      <w:pPr>
        <w:keepNext w:val="0"/>
        <w:keepLines w:val="0"/>
        <w:pageBreakBefore w:val="0"/>
        <w:widowControl w:val="0"/>
        <w:kinsoku/>
        <w:wordWrap/>
        <w:overflowPunct/>
        <w:topLinePunct w:val="0"/>
        <w:autoSpaceDE/>
        <w:autoSpaceDN/>
        <w:bidi w:val="0"/>
        <w:adjustRightInd/>
        <w:snapToGrid/>
        <w:spacing w:line="560" w:lineRule="exact"/>
        <w:ind w:firstLine="566" w:firstLineChars="188"/>
        <w:textAlignment w:val="auto"/>
        <w:rPr>
          <w:rFonts w:hint="eastAsia" w:ascii="宋体" w:hAnsi="宋体" w:eastAsia="宋体" w:cs="宋体"/>
          <w:color w:val="auto"/>
          <w:sz w:val="30"/>
          <w:szCs w:val="30"/>
          <w:lang w:eastAsia="zh-CN"/>
        </w:rPr>
      </w:pPr>
      <w:r>
        <w:rPr>
          <w:rFonts w:hint="eastAsia" w:ascii="宋体" w:hAnsi="宋体" w:eastAsia="宋体" w:cs="宋体"/>
          <w:b/>
          <w:color w:val="auto"/>
          <w:sz w:val="30"/>
          <w:szCs w:val="30"/>
        </w:rPr>
        <w:t>第三条</w:t>
      </w:r>
      <w:r>
        <w:rPr>
          <w:rFonts w:hint="eastAsia" w:ascii="宋体" w:hAnsi="宋体" w:eastAsia="宋体" w:cs="宋体"/>
          <w:color w:val="auto"/>
          <w:sz w:val="30"/>
          <w:szCs w:val="30"/>
        </w:rPr>
        <w:t xml:space="preserve">  乙方提供的公共性物业管理服务的主要内容为</w:t>
      </w:r>
      <w:r>
        <w:rPr>
          <w:rFonts w:hint="eastAsia" w:ascii="宋体" w:hAnsi="宋体" w:eastAsia="宋体" w:cs="宋体"/>
          <w:color w:val="auto"/>
          <w:sz w:val="30"/>
          <w:szCs w:val="30"/>
          <w:lang w:eastAsia="zh-CN"/>
        </w:rPr>
        <w:t>：</w:t>
      </w:r>
    </w:p>
    <w:p w14:paraId="7069B10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1、房屋建筑本体共用部位的维修、养护和管理。包括</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楼盖、屋顶、梁、柱、外墙面、共用部位门窗玻璃、楼梯间、走廊通道、门厅、设备机房等；</w:t>
      </w:r>
    </w:p>
    <w:p w14:paraId="15FA306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w:t>
      </w:r>
      <w:r>
        <w:rPr>
          <w:rFonts w:hint="eastAsia" w:ascii="宋体" w:hAnsi="宋体" w:eastAsia="宋体" w:cs="宋体"/>
          <w:color w:val="auto"/>
          <w:sz w:val="30"/>
          <w:szCs w:val="30"/>
          <w:lang w:eastAsia="zh-CN"/>
        </w:rPr>
        <w:t>公用设施</w:t>
      </w:r>
      <w:r>
        <w:rPr>
          <w:rFonts w:hint="eastAsia" w:ascii="宋体" w:hAnsi="宋体" w:eastAsia="宋体" w:cs="宋体"/>
          <w:color w:val="auto"/>
          <w:sz w:val="30"/>
          <w:szCs w:val="30"/>
        </w:rPr>
        <w:t>设备的维修、养护、运行和管理服务。包括</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共用的上下水管道、落水管、垃圾道、烟囱；共用照明、共用用水设施、天线、加压水泵房、电梯、楼内消防设施设备、中央监控设备、配电系统、建筑物防雷设施、安防设施、室外照明、信报箱、水表、电表等；</w:t>
      </w:r>
    </w:p>
    <w:p w14:paraId="4C91A47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3、附属建筑物、构筑物的维修、养护和管理，包括</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道路、室外上下水管道、化粪池、污水处理设施、沟渠、池、井、停车场等；</w:t>
      </w:r>
    </w:p>
    <w:p w14:paraId="493B4374">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4、公共场所、厕所及房屋共用部位的清洁卫生、垃圾的收集、清运(建筑垃圾和装修垃圾的收集和清运按长沙市有关规定另行收费)及公共场所、房屋共用部位的排水管道、污水管道的疏通；</w:t>
      </w:r>
    </w:p>
    <w:p w14:paraId="668231B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5、绿地、花木、建筑小品的养护和管理；</w:t>
      </w:r>
    </w:p>
    <w:p w14:paraId="0337BE1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6、维持本物业区域内机动车和非机动车的行驶秩序和停泊管理，但不含车辆及车内财物的保管、保险义务和责任；</w:t>
      </w:r>
    </w:p>
    <w:p w14:paraId="29EE6E4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7、维护公共秩序，包括门岗服务、本物业区域内（24小时）巡查等，并配合和协助公安部门进行安全防范及预防等辅助工作，但不含人身、财产保险及其安全的保证和保障义务和责任；</w:t>
      </w:r>
    </w:p>
    <w:p w14:paraId="7F6BDDD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8、装饰装修管理服务；</w:t>
      </w:r>
    </w:p>
    <w:p w14:paraId="04EA055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9、物业档案资料管理；</w:t>
      </w:r>
    </w:p>
    <w:p w14:paraId="59D8645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10、配套商业设施等公共物业的管理与服务</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停车场</w:t>
      </w:r>
      <w:r>
        <w:rPr>
          <w:rFonts w:hint="eastAsia" w:ascii="宋体" w:hAnsi="宋体" w:eastAsia="宋体" w:cs="宋体"/>
          <w:color w:val="auto"/>
          <w:sz w:val="30"/>
          <w:szCs w:val="30"/>
          <w:lang w:val="en-US" w:eastAsia="zh-CN"/>
        </w:rPr>
        <w:t>的代运营管理</w:t>
      </w:r>
      <w:r>
        <w:rPr>
          <w:rFonts w:hint="eastAsia" w:ascii="宋体" w:hAnsi="宋体" w:eastAsia="宋体" w:cs="宋体"/>
          <w:color w:val="auto"/>
          <w:sz w:val="30"/>
          <w:szCs w:val="30"/>
        </w:rPr>
        <w:t>；</w:t>
      </w:r>
    </w:p>
    <w:p w14:paraId="7FA7025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11、本合同规定的其他费用的收取；</w:t>
      </w:r>
    </w:p>
    <w:p w14:paraId="275C6A4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12、法律政策规定应由乙方管理服务的其他事项。</w:t>
      </w:r>
    </w:p>
    <w:p w14:paraId="5D86C93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 xml:space="preserve">              </w:t>
      </w:r>
    </w:p>
    <w:p w14:paraId="2CD1DA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第四章   管理目标及各项指标要求</w:t>
      </w:r>
    </w:p>
    <w:p w14:paraId="5CB4EC0A">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第四条</w:t>
      </w:r>
      <w:r>
        <w:rPr>
          <w:rFonts w:hint="eastAsia" w:ascii="宋体" w:hAnsi="宋体" w:eastAsia="宋体" w:cs="宋体"/>
          <w:color w:val="auto"/>
          <w:sz w:val="30"/>
          <w:szCs w:val="30"/>
        </w:rPr>
        <w:t xml:space="preserve">  管理目标</w:t>
      </w:r>
    </w:p>
    <w:p w14:paraId="60BFBD3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为小区的广大业主提供安全、舒适、温馨的生活环境，为业主提供良好的服务。</w:t>
      </w:r>
    </w:p>
    <w:p w14:paraId="09730E9B">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第五条</w:t>
      </w:r>
      <w:r>
        <w:rPr>
          <w:rFonts w:hint="eastAsia" w:ascii="宋体" w:hAnsi="宋体" w:eastAsia="宋体" w:cs="宋体"/>
          <w:color w:val="auto"/>
          <w:sz w:val="30"/>
          <w:szCs w:val="30"/>
        </w:rPr>
        <w:t xml:space="preserve">  管理要求</w:t>
      </w:r>
    </w:p>
    <w:p w14:paraId="4544334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（一）中控室运行管理</w:t>
      </w:r>
    </w:p>
    <w:p w14:paraId="5BFF30A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中控室负责小区的弱电系统（包括消防报警系统、监控系统、门禁系统、对讲系统、小区红外线系统等），中控室的值班、系统的检查、检测和弱电设备的日常维修保养工作。</w:t>
      </w:r>
    </w:p>
    <w:p w14:paraId="2F53342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标准：</w:t>
      </w:r>
    </w:p>
    <w:p w14:paraId="1CD5AA5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1、24小时值班，值班人员必须持证上岗;</w:t>
      </w:r>
    </w:p>
    <w:p w14:paraId="20C04DD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2、保证消防自动报警系统、监控系统、门禁系统、对讲系统及闭路监控系统、红外系统设备的正常运行；设备机房整洁；各系统工作稳定；</w:t>
      </w:r>
    </w:p>
    <w:p w14:paraId="02A8697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3、一般性故障立即排除，维修合格率100%，暂时不能处理的通知有关部门采取应急措施，应急措施得当有效；</w:t>
      </w:r>
    </w:p>
    <w:p w14:paraId="092DABB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4、1次/月进行消防普查；</w:t>
      </w:r>
    </w:p>
    <w:p w14:paraId="0A92F7F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5、设备机房整洁；</w:t>
      </w:r>
    </w:p>
    <w:p w14:paraId="0B1EDD3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6、保证设备机房的安全；</w:t>
      </w:r>
    </w:p>
    <w:p w14:paraId="21779BA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outlineLvl w:val="9"/>
        <w:rPr>
          <w:rFonts w:hint="eastAsia" w:ascii="宋体" w:hAnsi="宋体" w:eastAsia="宋体" w:cs="宋体"/>
          <w:color w:val="auto"/>
          <w:sz w:val="30"/>
          <w:szCs w:val="30"/>
        </w:rPr>
      </w:pPr>
      <w:r>
        <w:rPr>
          <w:rFonts w:hint="eastAsia" w:ascii="宋体" w:hAnsi="宋体" w:eastAsia="宋体" w:cs="宋体"/>
          <w:color w:val="auto"/>
          <w:sz w:val="30"/>
          <w:szCs w:val="30"/>
        </w:rPr>
        <w:t>（二）房屋建筑的日常养护维修</w:t>
      </w:r>
    </w:p>
    <w:p w14:paraId="7C1D2E6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房屋日常养护维修是指为保持房屋原有完好等级和正常使用，进行日常养护和及时修复小损小坏等房屋维护管理工作。</w:t>
      </w:r>
    </w:p>
    <w:p w14:paraId="5DF390C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1、定期进行房屋安全普查和房屋完损等级评定，保证房屋完好率达95%以上</w:t>
      </w:r>
      <w:r>
        <w:rPr>
          <w:rFonts w:hint="eastAsia" w:ascii="宋体" w:hAnsi="宋体" w:eastAsia="宋体" w:cs="宋体"/>
          <w:color w:val="auto"/>
          <w:sz w:val="30"/>
          <w:szCs w:val="30"/>
          <w:lang w:eastAsia="zh-CN"/>
        </w:rPr>
        <w:t>。</w:t>
      </w:r>
    </w:p>
    <w:p w14:paraId="7D2DDD8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2、爱护小区内设施、设备，未经产权人同意不得对小区的结构、设施等进行改动。</w:t>
      </w:r>
    </w:p>
    <w:p w14:paraId="1F0F23D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3、房屋共用部位管理制度完善，实施有效的日常管理和维修养护，检修记录和保养记录齐全。</w:t>
      </w:r>
    </w:p>
    <w:p w14:paraId="515A85A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4、房屋外观完好、整洁，无违章装修、违章搭建，公共区域无乱张贴悬挂现象。</w:t>
      </w:r>
    </w:p>
    <w:p w14:paraId="56370EB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5、每天巡查1次小区、公共通道及公共部位，并做好记录，发现损坏及时养护。</w:t>
      </w:r>
    </w:p>
    <w:p w14:paraId="057E39A4">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6、建立房屋修缮制度；实行便民报修和回访，房屋零修、维修及时率98%以上，房屋完好率95%以上，一般维修任务在接报后不超过24小时完成。</w:t>
      </w:r>
    </w:p>
    <w:p w14:paraId="14A6BED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7、小区主出入口设有小区平面示意图，有较完整的小区标识导示系统。</w:t>
      </w:r>
    </w:p>
    <w:p w14:paraId="33E68CA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outlineLvl w:val="9"/>
        <w:rPr>
          <w:rFonts w:hint="eastAsia" w:ascii="宋体" w:hAnsi="宋体" w:eastAsia="宋体" w:cs="宋体"/>
          <w:color w:val="auto"/>
          <w:sz w:val="30"/>
          <w:szCs w:val="30"/>
        </w:rPr>
      </w:pPr>
      <w:r>
        <w:rPr>
          <w:rFonts w:hint="eastAsia" w:ascii="宋体" w:hAnsi="宋体" w:eastAsia="宋体" w:cs="宋体"/>
          <w:color w:val="auto"/>
          <w:sz w:val="30"/>
          <w:szCs w:val="30"/>
        </w:rPr>
        <w:t>（三）给排水设备运行维护</w:t>
      </w:r>
    </w:p>
    <w:p w14:paraId="31AE1B2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给排水设备运行维护是指为保证小区给排水设备、设施的正常运行使用所进行的日常养护维修。</w:t>
      </w:r>
    </w:p>
    <w:p w14:paraId="55F419A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标准：</w:t>
      </w:r>
    </w:p>
    <w:p w14:paraId="136F854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1、控制室24小时值班，加强日常检查巡视，保证给排水系统正常使用；</w:t>
      </w:r>
    </w:p>
    <w:p w14:paraId="51EC3B20">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2、建立正常供水管理制度，保证水质符合国家标准；</w:t>
      </w:r>
    </w:p>
    <w:p w14:paraId="4DA3DD6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3、加强巡查，防止跑、冒、滴、漏，保证设备设施完好；</w:t>
      </w:r>
    </w:p>
    <w:p w14:paraId="505FFD0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4、二次供水卫生许可证、水质化验单、操作人员健康合格证齐全；定期对水箱进行清洗、消毒；</w:t>
      </w:r>
    </w:p>
    <w:p w14:paraId="2B98A44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5、确保水质达标保持水箱清洁卫生、无二次污染；</w:t>
      </w:r>
    </w:p>
    <w:p w14:paraId="0856D8F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6、保证室内外排水系统通畅；</w:t>
      </w:r>
    </w:p>
    <w:p w14:paraId="5DF551A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7、设备出现故障时，维修人员应在接到报修后5分钟内到达现场，零修合格率100%，一般性故障排除不过夜；</w:t>
      </w:r>
    </w:p>
    <w:p w14:paraId="62B80474">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8、保证避雷设备完好、有效、安全。</w:t>
      </w:r>
    </w:p>
    <w:p w14:paraId="04FE4604">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outlineLvl w:val="9"/>
        <w:rPr>
          <w:rFonts w:hint="eastAsia" w:ascii="宋体" w:hAnsi="宋体" w:eastAsia="宋体" w:cs="宋体"/>
          <w:color w:val="auto"/>
          <w:sz w:val="30"/>
          <w:szCs w:val="30"/>
        </w:rPr>
      </w:pPr>
      <w:r>
        <w:rPr>
          <w:rFonts w:hint="eastAsia" w:ascii="宋体" w:hAnsi="宋体" w:eastAsia="宋体" w:cs="宋体"/>
          <w:color w:val="auto"/>
          <w:sz w:val="30"/>
          <w:szCs w:val="30"/>
        </w:rPr>
        <w:t>（四）供电设备管理维护</w:t>
      </w:r>
    </w:p>
    <w:p w14:paraId="690B05F1">
      <w:pPr>
        <w:keepNext w:val="0"/>
        <w:keepLines w:val="0"/>
        <w:pageBreakBefore w:val="0"/>
        <w:widowControl w:val="0"/>
        <w:kinsoku/>
        <w:wordWrap/>
        <w:overflowPunct/>
        <w:topLinePunct w:val="0"/>
        <w:autoSpaceDE/>
        <w:autoSpaceDN/>
        <w:bidi w:val="0"/>
        <w:adjustRightInd/>
        <w:snapToGrid/>
        <w:spacing w:line="560" w:lineRule="exact"/>
        <w:ind w:left="-178" w:leftChars="-85" w:firstLine="555" w:firstLineChars="185"/>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供电设备管理维护是指为保证小区供电系统正常运行对供电设备的日常管理和养护维修。</w:t>
      </w:r>
    </w:p>
    <w:p w14:paraId="188B6C31">
      <w:pPr>
        <w:keepNext w:val="0"/>
        <w:keepLines w:val="0"/>
        <w:pageBreakBefore w:val="0"/>
        <w:widowControl w:val="0"/>
        <w:kinsoku/>
        <w:wordWrap/>
        <w:overflowPunct/>
        <w:topLinePunct w:val="0"/>
        <w:autoSpaceDE/>
        <w:autoSpaceDN/>
        <w:bidi w:val="0"/>
        <w:adjustRightInd/>
        <w:snapToGrid/>
        <w:spacing w:line="560" w:lineRule="exact"/>
        <w:ind w:left="-178" w:leftChars="-85" w:firstLine="555" w:firstLineChars="185"/>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标准：</w:t>
      </w:r>
    </w:p>
    <w:p w14:paraId="5AC16C52">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1、统筹规划，做到合理、节约用电；</w:t>
      </w:r>
    </w:p>
    <w:p w14:paraId="6AA3A93D">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2、供电运行和维修人员必须持证上岗；</w:t>
      </w:r>
    </w:p>
    <w:p w14:paraId="0BDC4AC9">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3、配电室24小时值班；</w:t>
      </w:r>
    </w:p>
    <w:p w14:paraId="3336F575">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4、加强日常维护检修，公共使用的照明、指示灯具线路、开关要保证完好；</w:t>
      </w:r>
    </w:p>
    <w:p w14:paraId="5675F5CB">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5、设备出现故障时，维修人员应在接到报修后5分钟内到达现场，设备零修合格率达到100%，一般性维修不过夜；</w:t>
      </w:r>
    </w:p>
    <w:p w14:paraId="1523E4D3">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6、供电设备定期维护；</w:t>
      </w:r>
    </w:p>
    <w:p w14:paraId="5DAB2F6C">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7、严格执行用电安全规范，确保用电安全；</w:t>
      </w:r>
    </w:p>
    <w:p w14:paraId="1573AF18">
      <w:pPr>
        <w:keepNext w:val="0"/>
        <w:keepLines w:val="0"/>
        <w:pageBreakBefore w:val="0"/>
        <w:widowControl w:val="0"/>
        <w:kinsoku/>
        <w:wordWrap/>
        <w:overflowPunct/>
        <w:topLinePunct w:val="0"/>
        <w:autoSpaceDE/>
        <w:autoSpaceDN/>
        <w:bidi w:val="0"/>
        <w:adjustRightInd/>
        <w:snapToGrid/>
        <w:spacing w:line="560" w:lineRule="exact"/>
        <w:ind w:firstLine="426" w:firstLineChars="142"/>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8、保证避雷设备完好、有效、安全。</w:t>
      </w:r>
    </w:p>
    <w:p w14:paraId="335902B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（五）电梯运行维修</w:t>
      </w:r>
    </w:p>
    <w:p w14:paraId="194F09B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电梯运行维修是指为保证小区电梯设备正常使用进行的日常管理、维修养护和中修。</w:t>
      </w:r>
    </w:p>
    <w:p w14:paraId="33A0039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标准：</w:t>
      </w:r>
    </w:p>
    <w:p w14:paraId="7806430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1、电梯采用无人驾驶，24小时运行；</w:t>
      </w:r>
    </w:p>
    <w:p w14:paraId="1FDFAED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2、安全设施齐全有效，电梯内求救电话保持正常工作状态；</w:t>
      </w:r>
    </w:p>
    <w:p w14:paraId="6A11CD5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3、通风、照明及其他附属设施完好；</w:t>
      </w:r>
    </w:p>
    <w:p w14:paraId="77C69C8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4、电梯准用证、年检合格证、维修保养合同完备；</w:t>
      </w:r>
    </w:p>
    <w:p w14:paraId="451EA96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5、轿厢、井道保持清洁；</w:t>
      </w:r>
    </w:p>
    <w:p w14:paraId="686403A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6、因故障停梯，接到报修后维修人员应30分钟内到达现场抢修，及时排除故障。</w:t>
      </w:r>
    </w:p>
    <w:p w14:paraId="41A2CE7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lang w:eastAsia="zh-CN"/>
        </w:rPr>
        <w:t>维修要求：</w:t>
      </w:r>
    </w:p>
    <w:p w14:paraId="3F23768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在电梯维修责任在甲方的承担期内，乙方需依法依规选择电梯维保单位，并报甲方审定后决定。否则电梯的维修费用均由乙方自行承担。</w:t>
      </w:r>
    </w:p>
    <w:p w14:paraId="33AABE0C">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outlineLvl w:val="9"/>
        <w:rPr>
          <w:rFonts w:hint="eastAsia" w:ascii="宋体" w:hAnsi="宋体" w:eastAsia="宋体" w:cs="宋体"/>
          <w:color w:val="auto"/>
          <w:sz w:val="30"/>
          <w:szCs w:val="30"/>
        </w:rPr>
      </w:pPr>
      <w:r>
        <w:rPr>
          <w:rFonts w:hint="eastAsia" w:ascii="宋体" w:hAnsi="宋体" w:eastAsia="宋体" w:cs="宋体"/>
          <w:color w:val="auto"/>
          <w:sz w:val="30"/>
          <w:szCs w:val="30"/>
        </w:rPr>
        <w:t>（六）卫生保洁</w:t>
      </w:r>
    </w:p>
    <w:p w14:paraId="68C001F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卫生保洁是指为保证小区公共区域、庭院等环境清洁而进行的日常管理工作。</w:t>
      </w:r>
    </w:p>
    <w:p w14:paraId="5691EAA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标准：</w:t>
      </w:r>
    </w:p>
    <w:p w14:paraId="17875F4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1、楼电梯厅干净、明亮，地面无杂物；</w:t>
      </w:r>
    </w:p>
    <w:p w14:paraId="3906D559">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2、电梯门、轿厢、显示牌无尘土、印迹，表面光亮；</w:t>
      </w:r>
    </w:p>
    <w:p w14:paraId="1C5DD330">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3、玻璃、门窗无污迹、裂痕；</w:t>
      </w:r>
    </w:p>
    <w:p w14:paraId="0E15B01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4、庭院地面清洁无废弃物；</w:t>
      </w:r>
    </w:p>
    <w:p w14:paraId="7C84009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5、各单元门口一楼及负一楼设置垃圾桶，垃圾桶内垃圾日产日清，并摆放整齐，外观干净，保持垃圾桶、垃圾房及周围清洁；建筑垃圾有固定堆放点；每日2次。垃圾袋装化，保持垃圾桶清洁、无异味；</w:t>
      </w:r>
    </w:p>
    <w:p w14:paraId="078487F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小区道路、广场、停车场、绿地等每日清扫2次；电梯厅、一层共用大厅保持清洁，楼内其它公共区域地面每日清扫2次，保持清洁；共用部位玻璃每月清洁1次；路灯、楼道灯每月清洁1次；及时清除道路积水；无卫生死角；</w:t>
      </w:r>
    </w:p>
    <w:p w14:paraId="22DD3384">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7、共用雨、污水管道每年疏通1次；雨、污水井每月检查1次，视检查情况及时清掏；化粪池每月检查一次，发现异常及时清掏；</w:t>
      </w:r>
    </w:p>
    <w:p w14:paraId="2165069C">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8、二次供水水箱按规定清洗，定时巡查，水质符合卫生要求；</w:t>
      </w:r>
    </w:p>
    <w:p w14:paraId="6F8EFA0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9、根据小区情况制订合理的消毒和灭虫除害计划并有效实施；</w:t>
      </w:r>
    </w:p>
    <w:p w14:paraId="58D8793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10、扫雪及时，地面无积雪，符合市扫雪办要求。</w:t>
      </w:r>
    </w:p>
    <w:p w14:paraId="1B1B4A6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outlineLvl w:val="9"/>
        <w:rPr>
          <w:rFonts w:hint="eastAsia" w:ascii="宋体" w:hAnsi="宋体" w:eastAsia="宋体" w:cs="宋体"/>
          <w:color w:val="auto"/>
          <w:sz w:val="30"/>
          <w:szCs w:val="30"/>
        </w:rPr>
      </w:pPr>
      <w:r>
        <w:rPr>
          <w:rFonts w:hint="eastAsia" w:ascii="宋体" w:hAnsi="宋体" w:eastAsia="宋体" w:cs="宋体"/>
          <w:color w:val="auto"/>
          <w:sz w:val="30"/>
          <w:szCs w:val="30"/>
        </w:rPr>
        <w:t>（七）保安、消防、秩序管理及监控、自动报警、门禁系统的运行管理</w:t>
      </w:r>
    </w:p>
    <w:p w14:paraId="030C62C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保安、消防、秩序管理是指为保证小区安全和正常生活秩序，保证监控、自动报警、门禁系统正常运行，对可疑人员进行盘查、登记，做好安全保卫和防火防盗工作，并做好车辆、道路及居住环境秩序管理等工作。</w:t>
      </w:r>
    </w:p>
    <w:p w14:paraId="3D99F4F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标准：</w:t>
      </w:r>
    </w:p>
    <w:p w14:paraId="09A359E9">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1、小区内环境秩序良好，道路通畅，车辆停放有序，人车分流；地下车库照明通风良好；</w:t>
      </w:r>
    </w:p>
    <w:p w14:paraId="58F35D0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2、各种消防设施、器材配备合理、更新及时、消防设施有明显标志，定期对消防设施进行巡视、检查和维护；定期进行消防训练，建立消防责任制，保证有关人员掌握消防基本技能；</w:t>
      </w:r>
    </w:p>
    <w:p w14:paraId="0CA41F5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3、能及时发现和处理各种安全和事故隐患，能迅速有效处置突发事件；</w:t>
      </w:r>
    </w:p>
    <w:p w14:paraId="2F50F70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4、设立小区公示栏，协助公安机关管理小区日常警务工作；</w:t>
      </w:r>
    </w:p>
    <w:p w14:paraId="4C85151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5、对突发事件有应急预案，完善责任制。</w:t>
      </w:r>
    </w:p>
    <w:p w14:paraId="570EF8D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outlineLvl w:val="9"/>
        <w:rPr>
          <w:rFonts w:hint="eastAsia" w:ascii="宋体" w:hAnsi="宋体" w:eastAsia="宋体" w:cs="宋体"/>
          <w:color w:val="auto"/>
          <w:sz w:val="30"/>
          <w:szCs w:val="30"/>
        </w:rPr>
      </w:pPr>
      <w:r>
        <w:rPr>
          <w:rFonts w:hint="eastAsia" w:ascii="宋体" w:hAnsi="宋体" w:eastAsia="宋体" w:cs="宋体"/>
          <w:color w:val="auto"/>
          <w:sz w:val="30"/>
          <w:szCs w:val="30"/>
        </w:rPr>
        <w:t>（八）绿化养护管理</w:t>
      </w:r>
    </w:p>
    <w:p w14:paraId="1159ED8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1、绿地内覆盖率达到80%，植物选配恰当；</w:t>
      </w:r>
    </w:p>
    <w:p w14:paraId="4EC8D238">
      <w:pPr>
        <w:keepNext w:val="0"/>
        <w:keepLines w:val="0"/>
        <w:pageBreakBefore w:val="0"/>
        <w:widowControl w:val="0"/>
        <w:kinsoku/>
        <w:wordWrap/>
        <w:overflowPunct/>
        <w:topLinePunct w:val="0"/>
        <w:autoSpaceDE/>
        <w:autoSpaceDN/>
        <w:bidi w:val="0"/>
        <w:adjustRightInd/>
        <w:snapToGrid/>
        <w:spacing w:line="560" w:lineRule="exact"/>
        <w:ind w:left="449" w:leftChars="214" w:firstLine="117" w:firstLineChars="3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2、有专业人员实施绿化养护管理，因乙方原因造成死损，由乙方负责恢复原状，并承担经济损失；</w:t>
      </w:r>
    </w:p>
    <w:p w14:paraId="5F118992">
      <w:pPr>
        <w:keepNext w:val="0"/>
        <w:keepLines w:val="0"/>
        <w:pageBreakBefore w:val="0"/>
        <w:widowControl w:val="0"/>
        <w:kinsoku/>
        <w:wordWrap/>
        <w:overflowPunct/>
        <w:topLinePunct w:val="0"/>
        <w:autoSpaceDE/>
        <w:autoSpaceDN/>
        <w:bidi w:val="0"/>
        <w:adjustRightInd/>
        <w:snapToGrid/>
        <w:spacing w:line="560" w:lineRule="exact"/>
        <w:ind w:left="449" w:leftChars="214" w:firstLine="117" w:firstLineChars="3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3、对草坪、花卉、绿篱、树木定期进行修剪、养护、各种绿化植物长势良好；</w:t>
      </w:r>
    </w:p>
    <w:p w14:paraId="17EA837C">
      <w:pPr>
        <w:keepNext w:val="0"/>
        <w:keepLines w:val="0"/>
        <w:pageBreakBefore w:val="0"/>
        <w:widowControl w:val="0"/>
        <w:kinsoku/>
        <w:wordWrap/>
        <w:overflowPunct/>
        <w:topLinePunct w:val="0"/>
        <w:autoSpaceDE/>
        <w:autoSpaceDN/>
        <w:bidi w:val="0"/>
        <w:adjustRightInd/>
        <w:snapToGrid/>
        <w:spacing w:line="560" w:lineRule="exact"/>
        <w:ind w:left="449" w:leftChars="214" w:firstLine="117" w:firstLineChars="3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4、定期清除绿地杂草、杂物；</w:t>
      </w:r>
    </w:p>
    <w:p w14:paraId="1DEF5681">
      <w:pPr>
        <w:keepNext w:val="0"/>
        <w:keepLines w:val="0"/>
        <w:pageBreakBefore w:val="0"/>
        <w:widowControl w:val="0"/>
        <w:kinsoku/>
        <w:wordWrap/>
        <w:overflowPunct/>
        <w:topLinePunct w:val="0"/>
        <w:autoSpaceDE/>
        <w:autoSpaceDN/>
        <w:bidi w:val="0"/>
        <w:adjustRightInd/>
        <w:snapToGrid/>
        <w:spacing w:line="560" w:lineRule="exact"/>
        <w:ind w:left="449" w:leftChars="214" w:firstLine="117" w:firstLineChars="3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5、适时组织浇灌、施肥和松土，做好防旱、防涝、防冻；</w:t>
      </w:r>
    </w:p>
    <w:p w14:paraId="437C2CFB">
      <w:pPr>
        <w:keepNext w:val="0"/>
        <w:keepLines w:val="0"/>
        <w:pageBreakBefore w:val="0"/>
        <w:widowControl w:val="0"/>
        <w:kinsoku/>
        <w:wordWrap/>
        <w:overflowPunct/>
        <w:topLinePunct w:val="0"/>
        <w:autoSpaceDE/>
        <w:autoSpaceDN/>
        <w:bidi w:val="0"/>
        <w:adjustRightInd/>
        <w:snapToGrid/>
        <w:spacing w:line="560" w:lineRule="exact"/>
        <w:ind w:left="449" w:leftChars="214" w:firstLine="117" w:firstLineChars="3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6、适时喷洒药物，预防病虫害。</w:t>
      </w:r>
    </w:p>
    <w:p w14:paraId="555F6168">
      <w:pPr>
        <w:keepNext w:val="0"/>
        <w:keepLines w:val="0"/>
        <w:pageBreakBefore w:val="0"/>
        <w:widowControl w:val="0"/>
        <w:kinsoku/>
        <w:wordWrap/>
        <w:overflowPunct/>
        <w:topLinePunct w:val="0"/>
        <w:autoSpaceDE/>
        <w:autoSpaceDN/>
        <w:bidi w:val="0"/>
        <w:adjustRightInd/>
        <w:snapToGrid/>
        <w:spacing w:line="560" w:lineRule="exact"/>
        <w:ind w:left="449" w:leftChars="214" w:firstLine="117" w:firstLineChars="3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（九）装修管理服务</w:t>
      </w:r>
    </w:p>
    <w:p w14:paraId="71F2149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1、有健全的装修管理服务制度并在业主装修前宣传到位；</w:t>
      </w:r>
    </w:p>
    <w:p w14:paraId="29B71BE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2、查验业主装修方案，与业主、施工单位签订装修管理服务协议，告知业主装修注意事项；</w:t>
      </w:r>
    </w:p>
    <w:p w14:paraId="53981C36">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3、装修期间，对装修现场进行巡视与检查，严格安防、消防和房屋安全管理；对进出小区的装修车辆、装修人员实行出入证管理，调解因装修引发的邻里纠纷；</w:t>
      </w:r>
    </w:p>
    <w:p w14:paraId="2A9C7AA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4、业主装修结束后，应进行检查。对违反装修协议的要进行处理。问题严重的报行政管理部门；及时清运装修垃圾，集中堆放时间不得超过三天；</w:t>
      </w:r>
    </w:p>
    <w:p w14:paraId="6E9BE744">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5、装修用的砂石、水泥等物料一律要求装袋进入小区，并堆放至指定区域；</w:t>
      </w:r>
    </w:p>
    <w:p w14:paraId="03997E7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6、房屋装修不得乱改乱建，不得改变用途，不得改变用途，不得损坏公共绿化及设施，发现一处立即整改一处。</w:t>
      </w:r>
    </w:p>
    <w:p w14:paraId="5D33CE3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（十）社区文化活动和档案管理</w:t>
      </w:r>
    </w:p>
    <w:p w14:paraId="3630598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1、有计划、有人员、有制度地落实社区文化活动；</w:t>
      </w:r>
    </w:p>
    <w:p w14:paraId="2C00FCC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2、定期开展健康有益的宣传和文化活动，配合街道、社区做好文明创建；</w:t>
      </w:r>
    </w:p>
    <w:p w14:paraId="1547F224">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3、积极协助街道、派出所、居委会开展各项工作；</w:t>
      </w:r>
    </w:p>
    <w:p w14:paraId="3268AA5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4、与商业、电信、银行等部门协助开展各项特色便民服务：如代办电话开通登记、代订报刊杂志等；</w:t>
      </w:r>
    </w:p>
    <w:p w14:paraId="3C6BC2F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5、全面的收集整理，达到科学、严谨、高效，使物业管理档案有章可循、有据可查；</w:t>
      </w:r>
    </w:p>
    <w:p w14:paraId="30EBCDB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6、档案分类管理，查阅方便；</w:t>
      </w:r>
    </w:p>
    <w:p w14:paraId="5D14F91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7、借阅有管理。</w:t>
      </w:r>
    </w:p>
    <w:p w14:paraId="50A291BC">
      <w:pPr>
        <w:keepNext w:val="0"/>
        <w:keepLines w:val="0"/>
        <w:pageBreakBefore w:val="0"/>
        <w:widowControl w:val="0"/>
        <w:kinsoku/>
        <w:wordWrap/>
        <w:overflowPunct/>
        <w:topLinePunct w:val="0"/>
        <w:autoSpaceDE/>
        <w:autoSpaceDN/>
        <w:bidi w:val="0"/>
        <w:adjustRightInd/>
        <w:snapToGrid/>
        <w:spacing w:line="560" w:lineRule="exact"/>
        <w:ind w:firstLine="566" w:firstLineChars="18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第六条</w:t>
      </w:r>
      <w:r>
        <w:rPr>
          <w:rFonts w:hint="eastAsia" w:ascii="宋体" w:hAnsi="宋体" w:eastAsia="宋体" w:cs="宋体"/>
          <w:color w:val="auto"/>
          <w:sz w:val="30"/>
          <w:szCs w:val="30"/>
        </w:rPr>
        <w:t xml:space="preserve">  管理服务应达到的各项指标</w:t>
      </w:r>
    </w:p>
    <w:p w14:paraId="19D1099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1、杜绝火灾责任事故，杜绝刑事案件；</w:t>
      </w:r>
    </w:p>
    <w:p w14:paraId="5C33789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2、制止住改商行为；</w:t>
      </w:r>
    </w:p>
    <w:p w14:paraId="541F8FA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3、环境卫生、清洁率达99%；</w:t>
      </w:r>
    </w:p>
    <w:p w14:paraId="32D453C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4、消防设备设施完好率100%；</w:t>
      </w:r>
    </w:p>
    <w:p w14:paraId="169F8B50">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5、房屋完好率95%以上；</w:t>
      </w:r>
    </w:p>
    <w:p w14:paraId="7D9DBA9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6、设备完好率100%；</w:t>
      </w:r>
    </w:p>
    <w:p w14:paraId="3D80D750">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7、智能化系统运行正常率98%；</w:t>
      </w:r>
    </w:p>
    <w:p w14:paraId="1A4FEC6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8、零修、报修及时率100%，返修率小于1%；</w:t>
      </w:r>
    </w:p>
    <w:p w14:paraId="172E11F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9、服务有效投诉少于1%，处理率100%；</w:t>
      </w:r>
    </w:p>
    <w:p w14:paraId="2B25329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10、业主满意率80%以上；</w:t>
      </w:r>
    </w:p>
    <w:p w14:paraId="579B640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11、从业人员无违法记录，具备相应的从业资格；</w:t>
      </w:r>
    </w:p>
    <w:p w14:paraId="53EA95F0">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12、设备、电梯等由于乙方原因管理不到位造成的损坏，由乙方负责。</w:t>
      </w:r>
    </w:p>
    <w:p w14:paraId="2D739619">
      <w:pPr>
        <w:keepNext w:val="0"/>
        <w:keepLines w:val="0"/>
        <w:pageBreakBefore w:val="0"/>
        <w:widowControl w:val="0"/>
        <w:kinsoku/>
        <w:wordWrap/>
        <w:overflowPunct/>
        <w:topLinePunct w:val="0"/>
        <w:autoSpaceDE/>
        <w:autoSpaceDN/>
        <w:bidi w:val="0"/>
        <w:adjustRightInd/>
        <w:snapToGrid/>
        <w:spacing w:line="560" w:lineRule="exact"/>
        <w:ind w:left="450" w:hanging="450" w:hangingChars="15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 xml:space="preserve">                </w:t>
      </w:r>
    </w:p>
    <w:p w14:paraId="4CCE582B">
      <w:pPr>
        <w:keepNext w:val="0"/>
        <w:keepLines w:val="0"/>
        <w:pageBreakBefore w:val="0"/>
        <w:widowControl w:val="0"/>
        <w:kinsoku/>
        <w:wordWrap/>
        <w:overflowPunct/>
        <w:topLinePunct w:val="0"/>
        <w:autoSpaceDE/>
        <w:autoSpaceDN/>
        <w:bidi w:val="0"/>
        <w:adjustRightInd/>
        <w:snapToGrid/>
        <w:spacing w:line="560" w:lineRule="exact"/>
        <w:ind w:left="452" w:hanging="452" w:hangingChars="150"/>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第五章      双方的权利和义务</w:t>
      </w:r>
    </w:p>
    <w:p w14:paraId="423F683E">
      <w:pPr>
        <w:keepNext w:val="0"/>
        <w:keepLines w:val="0"/>
        <w:pageBreakBefore w:val="0"/>
        <w:widowControl w:val="0"/>
        <w:kinsoku/>
        <w:wordWrap/>
        <w:overflowPunct/>
        <w:topLinePunct w:val="0"/>
        <w:autoSpaceDE/>
        <w:autoSpaceDN/>
        <w:bidi w:val="0"/>
        <w:adjustRightInd/>
        <w:snapToGrid/>
        <w:spacing w:line="560" w:lineRule="exact"/>
        <w:ind w:left="447" w:leftChars="213" w:firstLine="117" w:firstLineChars="39"/>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第七条</w:t>
      </w:r>
      <w:r>
        <w:rPr>
          <w:rFonts w:hint="eastAsia" w:ascii="宋体" w:hAnsi="宋体" w:eastAsia="宋体" w:cs="宋体"/>
          <w:color w:val="auto"/>
          <w:sz w:val="30"/>
          <w:szCs w:val="30"/>
        </w:rPr>
        <w:t xml:space="preserve">  甲方的权利和义务</w:t>
      </w:r>
    </w:p>
    <w:p w14:paraId="67F9B0B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1、代表和维护产权人（使用人）的合法权益；</w:t>
      </w:r>
    </w:p>
    <w:p w14:paraId="66F0661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2、对乙方制订的物业管理制度、年度工作计划及相关方案，甲方有建议权；共同负责设施设备小修材料费用的界定；</w:t>
      </w:r>
    </w:p>
    <w:p w14:paraId="182273A7">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3、在物业管理接管验收时，甲方应向乙方移交下列资料：</w:t>
      </w:r>
    </w:p>
    <w:p w14:paraId="3838D86C">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（1）竣工总平面图、单体建筑、结构、设备竣工图、配套设施、地下管网竣工图等竣工验收资料；</w:t>
      </w:r>
    </w:p>
    <w:p w14:paraId="364E07B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（2）设施设备的安装、使用和维护保养等技术资料；</w:t>
      </w:r>
    </w:p>
    <w:p w14:paraId="4697C94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（3）物业质量保修文件和物业使用说明文件；</w:t>
      </w:r>
    </w:p>
    <w:p w14:paraId="04481AE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（4）政府规定的物业管理必需的其他资料。</w:t>
      </w:r>
    </w:p>
    <w:p w14:paraId="7C671CF8">
      <w:pPr>
        <w:keepNext w:val="0"/>
        <w:keepLines w:val="0"/>
        <w:pageBreakBefore w:val="0"/>
        <w:widowControl w:val="0"/>
        <w:kinsoku/>
        <w:wordWrap/>
        <w:overflowPunct/>
        <w:topLinePunct w:val="0"/>
        <w:autoSpaceDE/>
        <w:autoSpaceDN/>
        <w:bidi w:val="0"/>
        <w:adjustRightInd/>
        <w:snapToGrid/>
        <w:spacing w:line="560" w:lineRule="exact"/>
        <w:ind w:firstLine="708" w:firstLineChars="236"/>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甲方派专人参与现场查验，与乙方共同确认现场查验的结果。房屋保修责任期后，甲方不再对房屋公共设施设备、配套设施设备修缮维护，全权由乙方负责维修，所产生的维护维修费用由乙方或物业维修基金承担；</w:t>
      </w:r>
    </w:p>
    <w:p w14:paraId="7AE55E8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交付使用时物业符合国家竣工质量标准（取得《建设工程竣工验收备案表》），按照国家规定的保修期限和保修范围，承担物业的保修责任。在保修责任期内，如发生质量问题，经甲方确认属实后，由甲方负责通知施工单位返修，甲方未能及时返修的，可委托乙方维修，由此所发生的维修费用由甲方向施工单位追偿或从施工单位质量保证金中扣除交给乙方；</w:t>
      </w:r>
    </w:p>
    <w:p w14:paraId="7FB5194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5、依据政府规定向乙方无偿提供物业管理用房；</w:t>
      </w:r>
    </w:p>
    <w:p w14:paraId="7E7B237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6、制订本小区临时管理规约，检查、督促乙方管理工作及相关制度的执行情况，针对乙方未达标的情况提出整改要求；</w:t>
      </w:r>
    </w:p>
    <w:p w14:paraId="559FB97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7、法律、法规及政策规定由甲方承担的其它权利和义务。</w:t>
      </w:r>
    </w:p>
    <w:p w14:paraId="0D72AB19">
      <w:pPr>
        <w:keepNext w:val="0"/>
        <w:keepLines w:val="0"/>
        <w:pageBreakBefore w:val="0"/>
        <w:widowControl w:val="0"/>
        <w:kinsoku/>
        <w:wordWrap/>
        <w:overflowPunct/>
        <w:topLinePunct w:val="0"/>
        <w:autoSpaceDE/>
        <w:autoSpaceDN/>
        <w:bidi w:val="0"/>
        <w:adjustRightInd/>
        <w:snapToGrid/>
        <w:spacing w:line="560" w:lineRule="exact"/>
        <w:ind w:firstLine="566" w:firstLineChars="18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 xml:space="preserve">第八条  </w:t>
      </w:r>
      <w:r>
        <w:rPr>
          <w:rFonts w:hint="eastAsia" w:ascii="宋体" w:hAnsi="宋体" w:eastAsia="宋体" w:cs="宋体"/>
          <w:color w:val="auto"/>
          <w:sz w:val="30"/>
          <w:szCs w:val="30"/>
        </w:rPr>
        <w:t>乙方的权利和义务</w:t>
      </w:r>
    </w:p>
    <w:p w14:paraId="767F2C8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1、根据本合同的约定提供物业管理服务</w:t>
      </w:r>
      <w:r>
        <w:rPr>
          <w:rFonts w:hint="eastAsia" w:ascii="宋体" w:hAnsi="宋体" w:eastAsia="宋体" w:cs="宋体"/>
          <w:color w:val="auto"/>
          <w:sz w:val="30"/>
          <w:szCs w:val="30"/>
          <w:highlight w:val="none"/>
          <w:lang w:eastAsia="zh-CN"/>
        </w:rPr>
        <w:t>项目</w:t>
      </w:r>
      <w:r>
        <w:rPr>
          <w:rFonts w:hint="eastAsia" w:ascii="宋体" w:hAnsi="宋体" w:eastAsia="宋体" w:cs="宋体"/>
          <w:color w:val="auto"/>
          <w:sz w:val="30"/>
          <w:szCs w:val="30"/>
          <w:highlight w:val="none"/>
        </w:rPr>
        <w:t>，并接受甲方及甲方委托人</w:t>
      </w:r>
      <w:r>
        <w:rPr>
          <w:rFonts w:hint="eastAsia" w:ascii="宋体" w:hAnsi="宋体" w:eastAsia="宋体" w:cs="宋体"/>
          <w:color w:val="auto"/>
          <w:sz w:val="30"/>
          <w:szCs w:val="30"/>
          <w:highlight w:val="none"/>
          <w:lang w:eastAsia="zh-CN"/>
        </w:rPr>
        <w:t>制定</w:t>
      </w:r>
      <w:r>
        <w:rPr>
          <w:rFonts w:hint="eastAsia" w:ascii="宋体" w:hAnsi="宋体" w:eastAsia="宋体" w:cs="宋体"/>
          <w:color w:val="auto"/>
          <w:sz w:val="30"/>
          <w:szCs w:val="30"/>
          <w:highlight w:val="none"/>
        </w:rPr>
        <w:t>的</w:t>
      </w:r>
      <w:r>
        <w:rPr>
          <w:rFonts w:hint="eastAsia" w:ascii="宋体" w:hAnsi="宋体" w:eastAsia="宋体" w:cs="宋体"/>
          <w:color w:val="auto"/>
          <w:sz w:val="30"/>
          <w:szCs w:val="30"/>
          <w:highlight w:val="none"/>
          <w:lang w:eastAsia="zh-CN"/>
        </w:rPr>
        <w:t>《雨花城投集团监管保障性住房小区物业服务考评方案》进行物业管理工作，</w:t>
      </w:r>
      <w:r>
        <w:rPr>
          <w:rFonts w:hint="eastAsia" w:ascii="宋体" w:hAnsi="宋体" w:eastAsia="宋体" w:cs="宋体"/>
          <w:color w:val="auto"/>
          <w:sz w:val="30"/>
          <w:szCs w:val="30"/>
          <w:highlight w:val="none"/>
          <w:lang w:val="en-US" w:eastAsia="zh-CN"/>
        </w:rPr>
        <w:t>并承担小区内质保期后物业维修资金缴纳前的维修维护责任及费用</w:t>
      </w:r>
      <w:r>
        <w:rPr>
          <w:rFonts w:hint="eastAsia" w:ascii="宋体" w:hAnsi="宋体" w:eastAsia="宋体" w:cs="宋体"/>
          <w:color w:val="auto"/>
          <w:sz w:val="30"/>
          <w:szCs w:val="30"/>
          <w:highlight w:val="none"/>
        </w:rPr>
        <w:t>；</w:t>
      </w:r>
    </w:p>
    <w:p w14:paraId="03A779A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2、根据有关法律法规及本合同的约定，</w:t>
      </w:r>
      <w:r>
        <w:rPr>
          <w:rFonts w:hint="eastAsia" w:ascii="宋体" w:hAnsi="宋体" w:eastAsia="宋体" w:cs="宋体"/>
          <w:color w:val="auto"/>
          <w:sz w:val="30"/>
          <w:szCs w:val="30"/>
          <w:lang w:eastAsia="zh-CN"/>
        </w:rPr>
        <w:t>制定</w:t>
      </w:r>
      <w:r>
        <w:rPr>
          <w:rFonts w:hint="eastAsia" w:ascii="宋体" w:hAnsi="宋体" w:eastAsia="宋体" w:cs="宋体"/>
          <w:color w:val="auto"/>
          <w:sz w:val="30"/>
          <w:szCs w:val="30"/>
        </w:rPr>
        <w:t>小区设施设备的使用、公共秩序和环境卫生维护等方面的物业管理制度、服务保障方案、应急保障方案，做好小区管理和服务工作；</w:t>
      </w:r>
    </w:p>
    <w:p w14:paraId="6D68F2E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3、结合本物业管理区域的实际情况，编制物业管理方案、物业管理规定、年度管理计划、维修保养计划、年度财务预结算报告及相关文件；</w:t>
      </w:r>
    </w:p>
    <w:p w14:paraId="4D1DC6D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4、专业技术岗位及特殊工种必须使用具有相关资质的专业技术人员，不得将本物业的全部管理责任转让给第三方；</w:t>
      </w:r>
    </w:p>
    <w:p w14:paraId="6EA96B5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5、秩序维护员必须经过严格审查和岗前培训合格并取得上岗证后方可上岗；</w:t>
      </w:r>
    </w:p>
    <w:p w14:paraId="7BEB9616">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6、及时向甲方通告本物业管理区域内有关物业管理的重大事项，及时处理甲方和物业使用人的投诉，接受甲方和物业使用人的监督；</w:t>
      </w:r>
    </w:p>
    <w:p w14:paraId="08D3DE3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7、告知并监督物业使用人遵守物业使用有关规定，规劝、制止物业使用人违反物业管理区域内物业管理规章制度的行为，对违反法律法规规定的行为人及时向甲方和相关行政管理部门报告；</w:t>
      </w:r>
    </w:p>
    <w:p w14:paraId="58EFBFBA">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8、未经甲方同意不得擅自占用和改变物业公共设施的使用功能；</w:t>
      </w:r>
    </w:p>
    <w:p w14:paraId="11F01C5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9、建立健全本项目的物业管理档案，及时记载有关变动情况。本合同终止时，乙方须向甲方移交受委托管理的全部物业及其各类管理档案、财务等资料；移交其管理范围内的全部公共财产，并接受甲方指定专业机构的移交审核。向甲方移交时，要确保</w:t>
      </w:r>
      <w:r>
        <w:rPr>
          <w:rFonts w:hint="eastAsia" w:ascii="宋体" w:hAnsi="宋体" w:eastAsia="宋体" w:cs="宋体"/>
          <w:color w:val="auto"/>
          <w:sz w:val="30"/>
          <w:szCs w:val="30"/>
          <w:lang w:val="en-US" w:eastAsia="zh-CN"/>
        </w:rPr>
        <w:t>小区内</w:t>
      </w:r>
      <w:r>
        <w:rPr>
          <w:rFonts w:hint="eastAsia" w:ascii="宋体" w:hAnsi="宋体" w:eastAsia="宋体" w:cs="宋体"/>
          <w:color w:val="auto"/>
          <w:sz w:val="30"/>
          <w:szCs w:val="30"/>
        </w:rPr>
        <w:t>各项设施</w:t>
      </w:r>
      <w:r>
        <w:rPr>
          <w:rFonts w:hint="eastAsia" w:ascii="宋体" w:hAnsi="宋体" w:eastAsia="宋体" w:cs="宋体"/>
          <w:color w:val="auto"/>
          <w:sz w:val="30"/>
          <w:szCs w:val="30"/>
          <w:lang w:val="en-US" w:eastAsia="zh-CN"/>
        </w:rPr>
        <w:t>设备</w:t>
      </w:r>
      <w:r>
        <w:rPr>
          <w:rFonts w:hint="eastAsia" w:ascii="宋体" w:hAnsi="宋体" w:eastAsia="宋体" w:cs="宋体"/>
          <w:color w:val="auto"/>
          <w:sz w:val="30"/>
          <w:szCs w:val="30"/>
        </w:rPr>
        <w:t>的性能良好。</w:t>
      </w:r>
    </w:p>
    <w:p w14:paraId="47F8456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10、员工管理应符合长沙市政府的有关规定及甲方有关要求。员工证件应齐全，有关证件复印件乙方应送甲方备案；</w:t>
      </w:r>
    </w:p>
    <w:p w14:paraId="6C5828D6">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11、严禁将物业管理项目整体转让给他人；</w:t>
      </w:r>
    </w:p>
    <w:p w14:paraId="1417C3D8">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12、严格遵守有关法律法规和采购文件的规定，对物业实行专业规范、安全高质的管理；</w:t>
      </w:r>
    </w:p>
    <w:p w14:paraId="517C35A1">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13、接受物业管理行政主管部门和甲方的监督、指导；</w:t>
      </w:r>
    </w:p>
    <w:p w14:paraId="09B2F87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14、按照本合同约定的收费项目、标准向业主及物业使用人（或经营人）收取物业服务费和其他费用，其中</w:t>
      </w:r>
      <w:r>
        <w:rPr>
          <w:rFonts w:hint="eastAsia" w:ascii="宋体" w:hAnsi="宋体" w:eastAsia="宋体" w:cs="宋体"/>
          <w:color w:val="auto"/>
          <w:sz w:val="30"/>
          <w:szCs w:val="30"/>
          <w:lang w:eastAsia="zh-CN"/>
        </w:rPr>
        <w:t>集体经济组织成员</w:t>
      </w:r>
      <w:r>
        <w:rPr>
          <w:rFonts w:hint="eastAsia" w:ascii="宋体" w:hAnsi="宋体" w:eastAsia="宋体" w:cs="宋体"/>
          <w:color w:val="auto"/>
          <w:sz w:val="30"/>
          <w:szCs w:val="30"/>
        </w:rPr>
        <w:t>免交物业管理费，甲方提供的物业管理配套用房的经营收入用于冲抵这部分业主应缴物业管理费，不足或经营亏损部分由甲方给予费用补贴，以确保乙方的正常运营；</w:t>
      </w:r>
      <w:r>
        <w:rPr>
          <w:rFonts w:hint="eastAsia" w:ascii="宋体" w:hAnsi="宋体" w:eastAsia="宋体" w:cs="宋体"/>
          <w:color w:val="auto"/>
          <w:sz w:val="30"/>
          <w:szCs w:val="30"/>
          <w:lang w:val="en-US" w:eastAsia="zh-CN"/>
        </w:rPr>
        <w:t>非集体经济组织成员安置面积对应的物业服务费（含非农、半边户等非集体经济组织成员）应由其自行缴纳或物业公司收取。</w:t>
      </w:r>
    </w:p>
    <w:p w14:paraId="4B6DB410">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15、在本物业入</w:t>
      </w:r>
      <w:r>
        <w:rPr>
          <w:rFonts w:hint="eastAsia" w:ascii="宋体" w:hAnsi="宋体" w:eastAsia="宋体" w:cs="宋体"/>
          <w:color w:val="auto"/>
          <w:sz w:val="30"/>
          <w:szCs w:val="30"/>
          <w:lang w:eastAsia="zh-CN"/>
        </w:rPr>
        <w:t>驻</w:t>
      </w:r>
      <w:r>
        <w:rPr>
          <w:rFonts w:hint="eastAsia" w:ascii="宋体" w:hAnsi="宋体" w:eastAsia="宋体" w:cs="宋体"/>
          <w:color w:val="auto"/>
          <w:sz w:val="30"/>
          <w:szCs w:val="30"/>
        </w:rPr>
        <w:t>前30天内，乙方应按甲方审定的物业管理方案组建完善的本项目物业管理处并正常运作</w:t>
      </w:r>
      <w:r>
        <w:rPr>
          <w:rFonts w:hint="eastAsia" w:ascii="宋体" w:hAnsi="宋体" w:eastAsia="宋体" w:cs="宋体"/>
          <w:color w:val="auto"/>
          <w:sz w:val="30"/>
          <w:szCs w:val="30"/>
          <w:lang w:eastAsia="zh-CN"/>
        </w:rPr>
        <w:t>。</w:t>
      </w:r>
    </w:p>
    <w:p w14:paraId="7D21895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rPr>
        <w:t>16、承接物业时，在甲方的配合支持下，应当对物业共用部分、共用设施设备进行查验，由双方书面授权人员签字并加盖公章后确认，作为界定各自在开发建设和物业管理方面承担责任的依据；</w:t>
      </w:r>
      <w:r>
        <w:rPr>
          <w:rFonts w:hint="eastAsia" w:ascii="宋体" w:hAnsi="宋体" w:eastAsia="宋体" w:cs="宋体"/>
          <w:color w:val="auto"/>
          <w:sz w:val="30"/>
          <w:szCs w:val="30"/>
          <w:lang w:val="en-US" w:eastAsia="zh-CN"/>
        </w:rPr>
        <w:t>在项目内相关设施设备移交后视同乙方已承担该设施设备的管理、维护等责任。</w:t>
      </w:r>
    </w:p>
    <w:p w14:paraId="749BD17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17、乙方根据项目内的实际情况及甲方要求对项目内的水、电等费用按照相关规定进行代收代缴，如无法收缴齐全则由乙方对水、电等费用进行垫付；</w:t>
      </w:r>
    </w:p>
    <w:p w14:paraId="28C5B735">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18</w:t>
      </w:r>
      <w:r>
        <w:rPr>
          <w:rFonts w:hint="eastAsia" w:ascii="宋体" w:hAnsi="宋体" w:eastAsia="宋体" w:cs="宋体"/>
          <w:color w:val="auto"/>
          <w:sz w:val="30"/>
          <w:szCs w:val="30"/>
        </w:rPr>
        <w:t>、根据业主和物业使用人（或经营人）的委托，提供本合同约定之外的服务项目，服务报酬由双方约定；</w:t>
      </w:r>
    </w:p>
    <w:p w14:paraId="1CA0859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19</w:t>
      </w:r>
      <w:r>
        <w:rPr>
          <w:rFonts w:hint="eastAsia" w:ascii="宋体" w:hAnsi="宋体" w:eastAsia="宋体" w:cs="宋体"/>
          <w:color w:val="auto"/>
          <w:sz w:val="30"/>
          <w:szCs w:val="30"/>
        </w:rPr>
        <w:t>、协助做好物业管理区域内的安全防范工作，发生安全事故时，应按紧急预案采取应急措施，并及时向甲方和有关行政管理部门报告，协助做好救助工作；</w:t>
      </w:r>
    </w:p>
    <w:p w14:paraId="55870B5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20</w:t>
      </w:r>
      <w:r>
        <w:rPr>
          <w:rFonts w:hint="eastAsia" w:ascii="宋体" w:hAnsi="宋体" w:eastAsia="宋体" w:cs="宋体"/>
          <w:color w:val="auto"/>
          <w:sz w:val="30"/>
          <w:szCs w:val="30"/>
        </w:rPr>
        <w:t>、非经甲方和相关业主许可，不得擅自改变公共建筑和</w:t>
      </w:r>
      <w:r>
        <w:rPr>
          <w:rFonts w:hint="eastAsia" w:ascii="宋体" w:hAnsi="宋体" w:eastAsia="宋体" w:cs="宋体"/>
          <w:color w:val="auto"/>
          <w:sz w:val="30"/>
          <w:szCs w:val="30"/>
          <w:lang w:eastAsia="zh-CN"/>
        </w:rPr>
        <w:t>公用设施</w:t>
      </w:r>
      <w:r>
        <w:rPr>
          <w:rFonts w:hint="eastAsia" w:ascii="宋体" w:hAnsi="宋体" w:eastAsia="宋体" w:cs="宋体"/>
          <w:color w:val="auto"/>
          <w:sz w:val="30"/>
          <w:szCs w:val="30"/>
        </w:rPr>
        <w:t>设备用途，不得擅自占用、挖掘本物业管理区域内的道路、场地，如有需要应办理有关手续后才能进行，并在约定期限内恢复原状；</w:t>
      </w:r>
    </w:p>
    <w:p w14:paraId="008B0096">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21</w:t>
      </w:r>
      <w:r>
        <w:rPr>
          <w:rFonts w:hint="eastAsia" w:ascii="宋体" w:hAnsi="宋体" w:eastAsia="宋体" w:cs="宋体"/>
          <w:color w:val="auto"/>
          <w:sz w:val="30"/>
          <w:szCs w:val="30"/>
        </w:rPr>
        <w:t>、与装饰装修房屋的业主或物业使用人（或经营人）签订书面协议，并事先告知业主和物业使用人（或经营人）装修装饰中的禁止行为和注意事项；</w:t>
      </w:r>
    </w:p>
    <w:p w14:paraId="5826888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22</w:t>
      </w:r>
      <w:r>
        <w:rPr>
          <w:rFonts w:hint="eastAsia" w:ascii="宋体" w:hAnsi="宋体" w:eastAsia="宋体" w:cs="宋体"/>
          <w:color w:val="auto"/>
          <w:sz w:val="30"/>
          <w:szCs w:val="30"/>
        </w:rPr>
        <w:t>、应根据甲方的入住通知办理好业主入住手续；</w:t>
      </w:r>
    </w:p>
    <w:p w14:paraId="2D0F7849">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w:t>
      </w:r>
      <w:r>
        <w:rPr>
          <w:rFonts w:hint="eastAsia" w:ascii="宋体" w:hAnsi="宋体" w:eastAsia="宋体" w:cs="宋体"/>
          <w:color w:val="auto"/>
          <w:sz w:val="30"/>
          <w:szCs w:val="30"/>
          <w:lang w:val="en-US" w:eastAsia="zh-CN"/>
        </w:rPr>
        <w:t>3</w:t>
      </w:r>
      <w:r>
        <w:rPr>
          <w:rFonts w:hint="eastAsia" w:ascii="宋体" w:hAnsi="宋体" w:eastAsia="宋体" w:cs="宋体"/>
          <w:color w:val="auto"/>
          <w:sz w:val="30"/>
          <w:szCs w:val="30"/>
        </w:rPr>
        <w:t>、乙方应积极协助、配合甲方组织实施地下车位</w:t>
      </w:r>
      <w:r>
        <w:rPr>
          <w:rFonts w:hint="eastAsia" w:ascii="宋体" w:hAnsi="宋体" w:eastAsia="宋体" w:cs="宋体"/>
          <w:color w:val="auto"/>
          <w:sz w:val="30"/>
          <w:szCs w:val="30"/>
          <w:lang w:val="en-US" w:eastAsia="zh-CN"/>
        </w:rPr>
        <w:t>运营管理</w:t>
      </w:r>
      <w:r>
        <w:rPr>
          <w:rFonts w:hint="eastAsia" w:ascii="宋体" w:hAnsi="宋体" w:eastAsia="宋体" w:cs="宋体"/>
          <w:color w:val="auto"/>
          <w:sz w:val="30"/>
          <w:szCs w:val="30"/>
        </w:rPr>
        <w:t>工作，完善车辆管控措施，规范服务，维护车主正当权益，确保小区内车辆行驶畅通、停泊有序；</w:t>
      </w:r>
    </w:p>
    <w:p w14:paraId="26C9AAD6">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w:t>
      </w:r>
      <w:r>
        <w:rPr>
          <w:rFonts w:hint="eastAsia" w:ascii="宋体" w:hAnsi="宋体" w:eastAsia="宋体" w:cs="宋体"/>
          <w:color w:val="auto"/>
          <w:sz w:val="30"/>
          <w:szCs w:val="30"/>
          <w:lang w:val="en-US" w:eastAsia="zh-CN"/>
        </w:rPr>
        <w:t>4</w:t>
      </w:r>
      <w:r>
        <w:rPr>
          <w:rFonts w:hint="eastAsia" w:ascii="宋体" w:hAnsi="宋体" w:eastAsia="宋体" w:cs="宋体"/>
          <w:color w:val="auto"/>
          <w:sz w:val="30"/>
          <w:szCs w:val="30"/>
        </w:rPr>
        <w:t>、乙方应在交房前协助甲方对房屋进行竣工验收和分户验收，并提出验收意见，以便施工单位整改；</w:t>
      </w:r>
    </w:p>
    <w:p w14:paraId="7565A31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w:t>
      </w:r>
      <w:r>
        <w:rPr>
          <w:rFonts w:hint="eastAsia" w:ascii="宋体" w:hAnsi="宋体" w:eastAsia="宋体" w:cs="宋体"/>
          <w:color w:val="auto"/>
          <w:sz w:val="30"/>
          <w:szCs w:val="30"/>
          <w:lang w:val="en-US" w:eastAsia="zh-CN"/>
        </w:rPr>
        <w:t>5</w:t>
      </w:r>
      <w:r>
        <w:rPr>
          <w:rFonts w:hint="eastAsia" w:ascii="宋体" w:hAnsi="宋体" w:eastAsia="宋体" w:cs="宋体"/>
          <w:color w:val="auto"/>
          <w:sz w:val="30"/>
          <w:szCs w:val="30"/>
        </w:rPr>
        <w:t>、如遇重大节日或上级检查，乙方须做好本小区安全、卫生自查自纠和迎检工作，并服从甲方的工作指导和要求；</w:t>
      </w:r>
    </w:p>
    <w:p w14:paraId="0CB26720">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w:t>
      </w:r>
      <w:r>
        <w:rPr>
          <w:rFonts w:hint="eastAsia" w:ascii="宋体" w:hAnsi="宋体" w:eastAsia="宋体" w:cs="宋体"/>
          <w:color w:val="auto"/>
          <w:sz w:val="30"/>
          <w:szCs w:val="30"/>
          <w:lang w:val="en-US" w:eastAsia="zh-CN"/>
        </w:rPr>
        <w:t>6</w:t>
      </w:r>
      <w:r>
        <w:rPr>
          <w:rFonts w:hint="eastAsia" w:ascii="宋体" w:hAnsi="宋体" w:eastAsia="宋体" w:cs="宋体"/>
          <w:color w:val="auto"/>
          <w:sz w:val="30"/>
          <w:szCs w:val="30"/>
        </w:rPr>
        <w:t>、乙方须严格履行和监督本小区业主履行临时管理规约的各项规定；</w:t>
      </w:r>
    </w:p>
    <w:p w14:paraId="44E18A26">
      <w:pPr>
        <w:keepNext w:val="0"/>
        <w:keepLines w:val="0"/>
        <w:pageBreakBefore w:val="0"/>
        <w:widowControl w:val="0"/>
        <w:kinsoku/>
        <w:wordWrap/>
        <w:overflowPunct/>
        <w:topLinePunct w:val="0"/>
        <w:autoSpaceDE/>
        <w:autoSpaceDN/>
        <w:bidi w:val="0"/>
        <w:adjustRightInd/>
        <w:snapToGrid/>
        <w:spacing w:line="560" w:lineRule="exact"/>
        <w:ind w:firstLine="594" w:firstLineChars="198"/>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rPr>
        <w:t>2</w:t>
      </w:r>
      <w:r>
        <w:rPr>
          <w:rFonts w:hint="eastAsia" w:ascii="宋体" w:hAnsi="宋体" w:eastAsia="宋体" w:cs="宋体"/>
          <w:color w:val="auto"/>
          <w:sz w:val="30"/>
          <w:szCs w:val="30"/>
          <w:lang w:val="en-US" w:eastAsia="zh-CN"/>
        </w:rPr>
        <w:t>7</w:t>
      </w:r>
      <w:r>
        <w:rPr>
          <w:rFonts w:hint="eastAsia" w:ascii="宋体" w:hAnsi="宋体" w:eastAsia="宋体" w:cs="宋体"/>
          <w:color w:val="auto"/>
          <w:sz w:val="30"/>
          <w:szCs w:val="30"/>
        </w:rPr>
        <w:t>、乙方对其服务和管理区域内车辆实施收费管理，对车辆进行泊位引导、车位卫生服务，对车辆的损害、保管等承担</w:t>
      </w:r>
      <w:r>
        <w:rPr>
          <w:rFonts w:hint="eastAsia" w:ascii="宋体" w:hAnsi="宋体" w:eastAsia="宋体" w:cs="宋体"/>
          <w:color w:val="auto"/>
          <w:sz w:val="30"/>
          <w:szCs w:val="30"/>
          <w:lang w:val="en-US" w:eastAsia="zh-CN"/>
        </w:rPr>
        <w:t>相应</w:t>
      </w:r>
      <w:r>
        <w:rPr>
          <w:rFonts w:hint="eastAsia" w:ascii="宋体" w:hAnsi="宋体" w:eastAsia="宋体" w:cs="宋体"/>
          <w:color w:val="auto"/>
          <w:sz w:val="30"/>
          <w:szCs w:val="30"/>
        </w:rPr>
        <w:t>责任，收费价格参照主管部门规定的收费标准执行；</w:t>
      </w:r>
      <w:r>
        <w:rPr>
          <w:rFonts w:hint="eastAsia" w:ascii="宋体" w:hAnsi="宋体" w:eastAsia="宋体" w:cs="宋体"/>
          <w:color w:val="auto"/>
          <w:sz w:val="30"/>
          <w:szCs w:val="30"/>
          <w:lang w:val="en-US" w:eastAsia="zh-CN"/>
        </w:rPr>
        <w:t>小区内地面车位由物业公司依法依规代为收取，地下车位及商业区域停车位由甲方负责。地下车位可按照相关法律法规的标准由乙方向车位使用人直接收取地下车位卫生服务费。</w:t>
      </w:r>
    </w:p>
    <w:p w14:paraId="211A5137">
      <w:pPr>
        <w:keepNext w:val="0"/>
        <w:keepLines w:val="0"/>
        <w:pageBreakBefore w:val="0"/>
        <w:widowControl w:val="0"/>
        <w:kinsoku/>
        <w:wordWrap/>
        <w:overflowPunct/>
        <w:topLinePunct w:val="0"/>
        <w:autoSpaceDE/>
        <w:autoSpaceDN/>
        <w:bidi w:val="0"/>
        <w:adjustRightInd/>
        <w:snapToGrid/>
        <w:spacing w:line="560" w:lineRule="exact"/>
        <w:ind w:firstLine="594" w:firstLineChars="198"/>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28、在小区内发生有关物业管理及服务的相关投诉信访问题时由乙方负责，必须予以安抚及解决，确保不对甲方造成影响。</w:t>
      </w:r>
    </w:p>
    <w:p w14:paraId="185D68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 xml:space="preserve">    </w:t>
      </w:r>
      <w:r>
        <w:rPr>
          <w:rFonts w:hint="eastAsia" w:ascii="宋体" w:hAnsi="宋体" w:eastAsia="宋体" w:cs="宋体"/>
          <w:color w:val="auto"/>
          <w:sz w:val="30"/>
          <w:szCs w:val="30"/>
          <w:lang w:val="en-US" w:eastAsia="zh-CN"/>
        </w:rPr>
        <w:t>29</w:t>
      </w:r>
      <w:r>
        <w:rPr>
          <w:rFonts w:hint="eastAsia" w:ascii="宋体" w:hAnsi="宋体" w:eastAsia="宋体" w:cs="宋体"/>
          <w:color w:val="auto"/>
          <w:sz w:val="30"/>
          <w:szCs w:val="30"/>
        </w:rPr>
        <w:t>、法律、法规及政策规定由乙方承担的其他权利和义务。</w:t>
      </w:r>
    </w:p>
    <w:p w14:paraId="6B68BA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68795E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第六章    物业管理服务费用及支付</w:t>
      </w:r>
    </w:p>
    <w:p w14:paraId="1A0EEF84">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第九条</w:t>
      </w:r>
      <w:r>
        <w:rPr>
          <w:rFonts w:hint="eastAsia" w:ascii="宋体" w:hAnsi="宋体" w:eastAsia="宋体" w:cs="宋体"/>
          <w:color w:val="auto"/>
          <w:sz w:val="30"/>
          <w:szCs w:val="30"/>
        </w:rPr>
        <w:t xml:space="preserve"> 本物业管理区域物业服务收费选择包干制。</w:t>
      </w:r>
    </w:p>
    <w:p w14:paraId="652AAB8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本物业管理区域的物业管理服务费暂定标准如下：</w:t>
      </w:r>
    </w:p>
    <w:p w14:paraId="7279BD14">
      <w:pPr>
        <w:numPr>
          <w:ilvl w:val="0"/>
          <w:numId w:val="0"/>
        </w:numPr>
        <w:spacing w:line="560" w:lineRule="exact"/>
        <w:ind w:firstLine="60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0"/>
          <w:szCs w:val="30"/>
          <w:highlight w:val="none"/>
          <w:lang w:val="en-US" w:eastAsia="zh-CN"/>
        </w:rPr>
        <w:t>1、</w:t>
      </w:r>
      <w:r>
        <w:rPr>
          <w:rFonts w:hint="eastAsia" w:ascii="宋体" w:hAnsi="宋体" w:eastAsia="宋体" w:cs="宋体"/>
          <w:color w:val="auto"/>
          <w:sz w:val="30"/>
          <w:szCs w:val="30"/>
          <w:highlight w:val="none"/>
        </w:rPr>
        <w:t>高层住宅</w:t>
      </w:r>
      <w:r>
        <w:rPr>
          <w:rFonts w:hint="eastAsia" w:ascii="宋体" w:hAnsi="宋体" w:eastAsia="宋体" w:cs="宋体"/>
          <w:color w:val="auto"/>
          <w:sz w:val="30"/>
          <w:szCs w:val="30"/>
          <w:highlight w:val="none"/>
          <w:u w:val="single"/>
          <w:lang w:eastAsia="zh-CN"/>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rPr>
        <w:t>元/平米／月；</w:t>
      </w:r>
    </w:p>
    <w:p w14:paraId="08500C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lang w:val="en-US" w:eastAsia="zh-CN"/>
        </w:rPr>
        <w:t>2、</w:t>
      </w:r>
      <w:r>
        <w:rPr>
          <w:rFonts w:hint="eastAsia" w:ascii="宋体" w:hAnsi="宋体" w:eastAsia="宋体" w:cs="宋体"/>
          <w:color w:val="auto"/>
          <w:sz w:val="30"/>
          <w:szCs w:val="30"/>
          <w:highlight w:val="none"/>
        </w:rPr>
        <w:t>商业：</w:t>
      </w:r>
      <w:r>
        <w:rPr>
          <w:rFonts w:hint="eastAsia" w:ascii="宋体" w:hAnsi="宋体" w:eastAsia="宋体" w:cs="宋体"/>
          <w:color w:val="auto"/>
          <w:sz w:val="30"/>
          <w:szCs w:val="30"/>
          <w:highlight w:val="none"/>
          <w:u w:val="single"/>
          <w:lang w:eastAsia="zh-CN"/>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rPr>
        <w:t>元／平米／月；</w:t>
      </w:r>
    </w:p>
    <w:p w14:paraId="105A4DF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lang w:val="en-US" w:eastAsia="zh-CN"/>
        </w:rPr>
        <w:t>3、</w:t>
      </w:r>
      <w:r>
        <w:rPr>
          <w:rFonts w:hint="eastAsia" w:ascii="宋体" w:hAnsi="宋体" w:eastAsia="宋体" w:cs="宋体"/>
          <w:color w:val="auto"/>
          <w:sz w:val="30"/>
          <w:szCs w:val="30"/>
          <w:highlight w:val="none"/>
        </w:rPr>
        <w:t>装修垃圾清运费：</w:t>
      </w:r>
      <w:r>
        <w:rPr>
          <w:rFonts w:hint="eastAsia" w:ascii="宋体" w:hAnsi="宋体" w:eastAsia="宋体" w:cs="宋体"/>
          <w:color w:val="auto"/>
          <w:sz w:val="30"/>
          <w:szCs w:val="30"/>
          <w:highlight w:val="none"/>
          <w:u w:val="single"/>
          <w:lang w:eastAsia="zh-CN"/>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rPr>
        <w:t>元/平米。</w:t>
      </w:r>
    </w:p>
    <w:p w14:paraId="15FF9D3B">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第十条</w:t>
      </w:r>
      <w:r>
        <w:rPr>
          <w:rFonts w:hint="eastAsia" w:ascii="宋体" w:hAnsi="宋体" w:eastAsia="宋体" w:cs="宋体"/>
          <w:color w:val="auto"/>
          <w:sz w:val="30"/>
          <w:szCs w:val="30"/>
        </w:rPr>
        <w:t xml:space="preserve"> 该物业管理服务费用主要用于支付以下开支：</w:t>
      </w:r>
    </w:p>
    <w:p w14:paraId="6A750882">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1、管理服务人员的工资、加班费、社保费和按规定提取的福利费、培训费等；</w:t>
      </w:r>
    </w:p>
    <w:p w14:paraId="3850D43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2、物业共用部位、共用设施设备的日常运行、维护费用；包括二次供水、加压设备的维护保养费用、</w:t>
      </w:r>
      <w:r>
        <w:rPr>
          <w:rFonts w:hint="eastAsia" w:ascii="宋体" w:hAnsi="宋体" w:eastAsia="宋体" w:cs="宋体"/>
          <w:color w:val="auto"/>
          <w:sz w:val="30"/>
          <w:szCs w:val="30"/>
          <w:highlight w:val="none"/>
        </w:rPr>
        <w:t>电梯的</w:t>
      </w:r>
      <w:r>
        <w:rPr>
          <w:rFonts w:hint="eastAsia" w:ascii="宋体" w:hAnsi="宋体" w:eastAsia="宋体" w:cs="宋体"/>
          <w:color w:val="auto"/>
          <w:sz w:val="30"/>
          <w:szCs w:val="30"/>
        </w:rPr>
        <w:t>运行维护费用、消防、监控、智能化等设施的运行费用；</w:t>
      </w:r>
    </w:p>
    <w:p w14:paraId="6B769A8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3、用于物业管理办公费用和固定资产折旧费用；</w:t>
      </w:r>
    </w:p>
    <w:p w14:paraId="1515472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4、物业管理区域环境卫生清洁费用；</w:t>
      </w:r>
    </w:p>
    <w:p w14:paraId="2C45239C">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5、物业管理区域绿化养护费用；</w:t>
      </w:r>
    </w:p>
    <w:p w14:paraId="5EDF2EDD">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6、物业管理区域秩序维护费用；</w:t>
      </w:r>
    </w:p>
    <w:p w14:paraId="11F46019">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7、公共水电费用；</w:t>
      </w:r>
    </w:p>
    <w:p w14:paraId="78BB3E0F">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8、物业共用部位、共用设施设备费用；</w:t>
      </w:r>
    </w:p>
    <w:p w14:paraId="7FD2D623">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9、开展必要的社区文体活动的费用；</w:t>
      </w:r>
    </w:p>
    <w:p w14:paraId="7B6C6FB9">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10、经物业服务合同约定或业主同意的其它费用。</w:t>
      </w:r>
    </w:p>
    <w:p w14:paraId="3FA2640E">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物业共用部位、共用设施设备的大修、中修和更新、改造费用，应当通过专项维修资金予以列支，不得计入物业服务支出或者物业服务成本。</w:t>
      </w:r>
    </w:p>
    <w:p w14:paraId="00BA426B">
      <w:pPr>
        <w:keepNext w:val="0"/>
        <w:keepLines w:val="0"/>
        <w:pageBreakBefore w:val="0"/>
        <w:widowControl w:val="0"/>
        <w:kinsoku/>
        <w:wordWrap/>
        <w:overflowPunct/>
        <w:topLinePunct w:val="0"/>
        <w:autoSpaceDE/>
        <w:autoSpaceDN/>
        <w:bidi w:val="0"/>
        <w:adjustRightInd/>
        <w:snapToGrid/>
        <w:spacing w:line="560" w:lineRule="exact"/>
        <w:ind w:firstLine="567" w:firstLineChars="189"/>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根据甲方考核考评以及乙方对本小区的物业管理服务工作情况，支付乙方70%-100%不等的物业管理服务费用，乙方不得以此为由消极、降低或减少服务品质及人员配置。</w:t>
      </w:r>
    </w:p>
    <w:p w14:paraId="36A48781">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第十一条</w:t>
      </w:r>
      <w:r>
        <w:rPr>
          <w:rFonts w:hint="eastAsia" w:ascii="宋体" w:hAnsi="宋体" w:eastAsia="宋体" w:cs="宋体"/>
          <w:color w:val="auto"/>
          <w:sz w:val="30"/>
          <w:szCs w:val="30"/>
        </w:rPr>
        <w:t xml:space="preserve">  除本合同规定的应收费项目外，未经甲方同意，乙方不得收取其他任何费用（按物业使用人的要求，向物业使用人提供的特约有偿服务收费除外）</w:t>
      </w:r>
    </w:p>
    <w:p w14:paraId="0D905AF2">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第十二条</w:t>
      </w:r>
      <w:r>
        <w:rPr>
          <w:rFonts w:hint="eastAsia" w:ascii="宋体" w:hAnsi="宋体" w:eastAsia="宋体" w:cs="宋体"/>
          <w:color w:val="auto"/>
          <w:sz w:val="30"/>
          <w:szCs w:val="30"/>
        </w:rPr>
        <w:t xml:space="preserve">  乙方应与停车场车位使用人签订书面的停车管理服务协议，明确双方在车位使用及停车管理服务等方面的权利义务。</w:t>
      </w:r>
    </w:p>
    <w:p w14:paraId="1F010F55">
      <w:pPr>
        <w:widowControl/>
        <w:shd w:val="clear" w:color="auto" w:fill="FFFFFF"/>
        <w:spacing w:before="0" w:beforeAutospacing="0" w:after="0" w:afterAutospacing="0" w:line="560" w:lineRule="exact"/>
        <w:ind w:firstLine="602" w:firstLineChars="200"/>
        <w:jc w:val="left"/>
        <w:rPr>
          <w:rFonts w:hint="eastAsia" w:ascii="宋体" w:hAnsi="宋体" w:eastAsia="宋体" w:cs="宋体"/>
          <w:color w:val="auto"/>
          <w:kern w:val="0"/>
          <w:sz w:val="30"/>
          <w:szCs w:val="30"/>
          <w:lang w:val="en-US" w:eastAsia="zh-CN" w:bidi="ar-SA"/>
        </w:rPr>
      </w:pPr>
      <w:r>
        <w:rPr>
          <w:rFonts w:hint="eastAsia" w:ascii="宋体" w:hAnsi="宋体" w:eastAsia="宋体" w:cs="宋体"/>
          <w:b/>
          <w:color w:val="auto"/>
          <w:kern w:val="0"/>
          <w:sz w:val="30"/>
          <w:szCs w:val="30"/>
          <w:lang w:val="en-US" w:eastAsia="zh-CN" w:bidi="ar-SA"/>
        </w:rPr>
        <w:t>第十三条</w:t>
      </w:r>
      <w:r>
        <w:rPr>
          <w:rFonts w:hint="eastAsia" w:ascii="宋体" w:hAnsi="宋体" w:eastAsia="宋体" w:cs="宋体"/>
          <w:color w:val="auto"/>
          <w:kern w:val="0"/>
          <w:sz w:val="30"/>
          <w:szCs w:val="30"/>
          <w:lang w:val="en-US" w:eastAsia="zh-CN" w:bidi="ar-SA"/>
        </w:rPr>
        <w:t xml:space="preserve">  </w:t>
      </w:r>
      <w:r>
        <w:rPr>
          <w:rFonts w:hint="eastAsia" w:ascii="宋体" w:hAnsi="宋体" w:eastAsia="宋体" w:cs="宋体"/>
          <w:color w:val="auto"/>
          <w:kern w:val="2"/>
          <w:sz w:val="30"/>
          <w:szCs w:val="30"/>
          <w:highlight w:val="none"/>
          <w:lang w:val="en-US" w:eastAsia="zh-CN" w:bidi="ar-SA"/>
        </w:rPr>
        <w:t>本项目物业管理费的收取按政策规定执行，合同期内由甲方或物业租赁使用方负责支付物业管理费。非集体经济组织成员购买本项目时需签订物业管理服务合同，按本小区物业服务合同约定的价格缴纳物业管理服务费，由其自行缴纳或物业公司按合同约定收取。</w:t>
      </w:r>
    </w:p>
    <w:p w14:paraId="01F86975">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第十四条</w:t>
      </w:r>
      <w:r>
        <w:rPr>
          <w:rFonts w:hint="eastAsia" w:ascii="宋体" w:hAnsi="宋体" w:eastAsia="宋体" w:cs="宋体"/>
          <w:color w:val="auto"/>
          <w:sz w:val="30"/>
          <w:szCs w:val="30"/>
          <w:highlight w:val="none"/>
        </w:rPr>
        <w:t xml:space="preserve">  本项目交房后，按实际交付使用房屋的性质和实测面积计算物业管理费，依据物业管理相关法规及本合同约定付费，即零散空置房</w:t>
      </w:r>
      <w:r>
        <w:rPr>
          <w:rFonts w:hint="eastAsia" w:ascii="宋体" w:hAnsi="宋体" w:eastAsia="宋体" w:cs="宋体"/>
          <w:color w:val="auto"/>
          <w:sz w:val="30"/>
          <w:szCs w:val="30"/>
          <w:highlight w:val="none"/>
          <w:lang w:val="en-US" w:eastAsia="zh-CN"/>
        </w:rPr>
        <w:t>交房之日起空置不满24个月按七折付费，满24个月</w:t>
      </w:r>
      <w:r>
        <w:rPr>
          <w:rFonts w:hint="eastAsia" w:ascii="宋体" w:hAnsi="宋体" w:eastAsia="宋体" w:cs="宋体"/>
          <w:color w:val="auto"/>
          <w:sz w:val="30"/>
          <w:szCs w:val="30"/>
          <w:highlight w:val="none"/>
        </w:rPr>
        <w:t>按九折付费；甲方不予支付物业管理用房和社区用房的物业管理费；幼儿园的物业管理费从该建筑正式交付之日起</w:t>
      </w:r>
      <w:r>
        <w:rPr>
          <w:rFonts w:hint="eastAsia" w:ascii="宋体" w:hAnsi="宋体" w:eastAsia="宋体" w:cs="宋体"/>
          <w:color w:val="auto"/>
          <w:sz w:val="30"/>
          <w:szCs w:val="30"/>
          <w:highlight w:val="none"/>
          <w:lang w:eastAsia="zh-CN"/>
        </w:rPr>
        <w:t>，</w:t>
      </w:r>
      <w:r>
        <w:rPr>
          <w:rFonts w:hint="eastAsia" w:ascii="宋体" w:hAnsi="宋体" w:eastAsia="宋体" w:cs="宋体"/>
          <w:color w:val="auto"/>
          <w:sz w:val="30"/>
          <w:szCs w:val="30"/>
          <w:highlight w:val="none"/>
        </w:rPr>
        <w:t>甲方</w:t>
      </w:r>
      <w:r>
        <w:rPr>
          <w:rFonts w:hint="eastAsia" w:ascii="宋体" w:hAnsi="宋体" w:eastAsia="宋体" w:cs="宋体"/>
          <w:color w:val="auto"/>
          <w:sz w:val="30"/>
          <w:szCs w:val="30"/>
          <w:highlight w:val="none"/>
          <w:lang w:eastAsia="zh-CN"/>
        </w:rPr>
        <w:t>及幼儿园</w:t>
      </w:r>
      <w:r>
        <w:rPr>
          <w:rFonts w:hint="eastAsia" w:ascii="宋体" w:hAnsi="宋体" w:eastAsia="宋体" w:cs="宋体"/>
          <w:color w:val="auto"/>
          <w:sz w:val="30"/>
          <w:szCs w:val="30"/>
          <w:highlight w:val="none"/>
        </w:rPr>
        <w:t>不承担，</w:t>
      </w:r>
      <w:r>
        <w:rPr>
          <w:rFonts w:hint="eastAsia" w:ascii="宋体" w:hAnsi="宋体" w:eastAsia="宋体" w:cs="宋体"/>
          <w:color w:val="auto"/>
          <w:sz w:val="30"/>
          <w:szCs w:val="30"/>
          <w:highlight w:val="none"/>
          <w:lang w:eastAsia="zh-CN"/>
        </w:rPr>
        <w:t>其他费用由乙方与幼儿园协商解决</w:t>
      </w:r>
      <w:r>
        <w:rPr>
          <w:rFonts w:hint="eastAsia" w:ascii="宋体" w:hAnsi="宋体" w:eastAsia="宋体" w:cs="宋体"/>
          <w:color w:val="auto"/>
          <w:sz w:val="30"/>
          <w:szCs w:val="30"/>
          <w:highlight w:val="none"/>
        </w:rPr>
        <w:t>；装修垃圾清运费为一次性费用，装修垃圾清运费依据已分房实测面积占比分批次按比例付费。</w:t>
      </w:r>
    </w:p>
    <w:p w14:paraId="2C028D66">
      <w:pPr>
        <w:keepNext w:val="0"/>
        <w:keepLines w:val="0"/>
        <w:pageBreakBefore w:val="0"/>
        <w:widowControl w:val="0"/>
        <w:kinsoku/>
        <w:wordWrap/>
        <w:overflowPunct/>
        <w:topLinePunct w:val="0"/>
        <w:autoSpaceDE/>
        <w:autoSpaceDN/>
        <w:bidi w:val="0"/>
        <w:adjustRightInd/>
        <w:snapToGrid/>
        <w:spacing w:line="560" w:lineRule="exact"/>
        <w:ind w:firstLine="594" w:firstLineChars="198"/>
        <w:textAlignment w:val="auto"/>
        <w:rPr>
          <w:rFonts w:hint="eastAsia" w:ascii="宋体" w:hAnsi="宋体" w:eastAsia="宋体" w:cs="宋体"/>
          <w:color w:val="auto"/>
          <w:sz w:val="30"/>
          <w:szCs w:val="30"/>
          <w:highlight w:val="none"/>
          <w:lang w:val="en-US" w:eastAsia="zh-CN"/>
        </w:rPr>
      </w:pPr>
      <w:r>
        <w:rPr>
          <w:rFonts w:hint="eastAsia" w:ascii="宋体" w:hAnsi="宋体" w:eastAsia="宋体" w:cs="宋体"/>
          <w:color w:val="auto"/>
          <w:sz w:val="30"/>
          <w:szCs w:val="30"/>
          <w:highlight w:val="none"/>
        </w:rPr>
        <w:t>此价格为包干价，如遇突击任务需临时增加人员时，也不增加任何费用。无条件配合甲方为业主办理交房手续，存档业主资料，做好验房、交房工作记录，协调工程质量维保维修事务，跟进处理结果，及时反馈业主，做好解释说明工作。</w:t>
      </w:r>
    </w:p>
    <w:p w14:paraId="284EA024">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4" w:firstLineChars="198"/>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lang w:val="en-US" w:eastAsia="zh-CN"/>
        </w:rPr>
        <w:t xml:space="preserve"> 因乙方物业管理服务及工作配合原因不符合甲方要求的，甲方有权适时延期及暂缓支付物业管理服务费，情节严重的甲方可下发退场通知书，要求乙方在规定时间内退场，乙方不得以此为由消极、降低服务或拒绝执行。</w:t>
      </w:r>
    </w:p>
    <w:p w14:paraId="1B1C5F6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4" w:firstLineChars="198"/>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合同期内按季付费，由甲方按季于每季20日前</w:t>
      </w:r>
      <w:r>
        <w:rPr>
          <w:rFonts w:hint="eastAsia" w:ascii="宋体" w:hAnsi="宋体" w:eastAsia="宋体" w:cs="宋体"/>
          <w:color w:val="auto"/>
          <w:sz w:val="30"/>
          <w:szCs w:val="30"/>
          <w:highlight w:val="none"/>
          <w:lang w:eastAsia="zh-CN"/>
        </w:rPr>
        <w:t>根据《雨花城投集团监管保障性住房小区物业服务考评方案》的实施办法以及乙方当季的考评等级，按比例</w:t>
      </w:r>
      <w:r>
        <w:rPr>
          <w:rFonts w:hint="eastAsia" w:ascii="宋体" w:hAnsi="宋体" w:eastAsia="宋体" w:cs="宋体"/>
          <w:color w:val="auto"/>
          <w:sz w:val="30"/>
          <w:szCs w:val="30"/>
          <w:highlight w:val="none"/>
        </w:rPr>
        <w:t>支付上一个季度的物业管理费。每季末月底乙方应提交当季物业管理费发票给甲方，否则延期付款责任由乙方自行承担。</w:t>
      </w:r>
    </w:p>
    <w:p w14:paraId="4EE6C7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物业管理服务费用以转账形式支付，且转入下列账户：</w:t>
      </w:r>
    </w:p>
    <w:p w14:paraId="3CEB3C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u w:val="single"/>
          <w:lang w:val="en-US" w:eastAsia="zh-CN"/>
        </w:rPr>
      </w:pPr>
      <w:r>
        <w:rPr>
          <w:rFonts w:hint="eastAsia" w:ascii="宋体" w:hAnsi="宋体" w:eastAsia="宋体" w:cs="宋体"/>
          <w:color w:val="auto"/>
          <w:sz w:val="30"/>
          <w:szCs w:val="30"/>
        </w:rPr>
        <w:t>开</w:t>
      </w:r>
      <w:r>
        <w:rPr>
          <w:rFonts w:hint="eastAsia" w:ascii="宋体" w:hAnsi="宋体" w:eastAsia="宋体" w:cs="宋体"/>
          <w:color w:val="auto"/>
          <w:sz w:val="30"/>
          <w:szCs w:val="30"/>
          <w:lang w:val="en-US" w:eastAsia="zh-CN"/>
        </w:rPr>
        <w:t xml:space="preserve"> </w:t>
      </w:r>
      <w:r>
        <w:rPr>
          <w:rFonts w:hint="eastAsia" w:ascii="宋体" w:hAnsi="宋体" w:eastAsia="宋体" w:cs="宋体"/>
          <w:color w:val="auto"/>
          <w:sz w:val="30"/>
          <w:szCs w:val="30"/>
        </w:rPr>
        <w:t>户</w:t>
      </w:r>
      <w:r>
        <w:rPr>
          <w:rFonts w:hint="eastAsia" w:ascii="宋体" w:hAnsi="宋体" w:eastAsia="宋体" w:cs="宋体"/>
          <w:color w:val="auto"/>
          <w:sz w:val="30"/>
          <w:szCs w:val="30"/>
          <w:lang w:val="en-US" w:eastAsia="zh-CN"/>
        </w:rPr>
        <w:t xml:space="preserve"> </w:t>
      </w:r>
      <w:r>
        <w:rPr>
          <w:rFonts w:hint="eastAsia" w:ascii="宋体" w:hAnsi="宋体" w:eastAsia="宋体" w:cs="宋体"/>
          <w:color w:val="auto"/>
          <w:sz w:val="30"/>
          <w:szCs w:val="30"/>
        </w:rPr>
        <w:t>行：</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sz w:val="30"/>
          <w:szCs w:val="30"/>
          <w:u w:val="single"/>
          <w:vertAlign w:val="baseline"/>
          <w:lang w:val="en-US" w:eastAsia="zh-CN"/>
        </w:rPr>
        <w:t xml:space="preserve">                                  </w:t>
      </w:r>
      <w:r>
        <w:rPr>
          <w:rFonts w:hint="eastAsia" w:ascii="宋体" w:hAnsi="宋体" w:eastAsia="宋体" w:cs="宋体"/>
          <w:color w:val="auto"/>
          <w:sz w:val="30"/>
          <w:szCs w:val="30"/>
          <w:u w:val="single"/>
          <w:lang w:val="en-US" w:eastAsia="zh-CN"/>
        </w:rPr>
        <w:t xml:space="preserve"> </w:t>
      </w:r>
    </w:p>
    <w:p w14:paraId="4031C2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u w:val="single"/>
          <w:lang w:val="en-US" w:eastAsia="zh-CN"/>
        </w:rPr>
      </w:pPr>
      <w:r>
        <w:rPr>
          <w:rFonts w:hint="eastAsia" w:ascii="宋体" w:hAnsi="宋体" w:eastAsia="宋体" w:cs="宋体"/>
          <w:color w:val="auto"/>
          <w:sz w:val="30"/>
          <w:szCs w:val="30"/>
        </w:rPr>
        <w:t>银行账号：</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sz w:val="30"/>
          <w:szCs w:val="30"/>
          <w:u w:val="single"/>
          <w:vertAlign w:val="baseline"/>
          <w:lang w:val="en-US" w:eastAsia="zh-CN"/>
        </w:rPr>
        <w:t xml:space="preserve">                                  </w:t>
      </w:r>
      <w:r>
        <w:rPr>
          <w:rFonts w:hint="eastAsia" w:ascii="宋体" w:hAnsi="宋体" w:eastAsia="宋体" w:cs="宋体"/>
          <w:color w:val="auto"/>
          <w:sz w:val="30"/>
          <w:szCs w:val="30"/>
          <w:u w:val="single"/>
          <w:lang w:val="en-US" w:eastAsia="zh-CN"/>
        </w:rPr>
        <w:t xml:space="preserve"> </w:t>
      </w:r>
    </w:p>
    <w:p w14:paraId="16FE25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u w:val="single"/>
        </w:rPr>
      </w:pPr>
      <w:r>
        <w:rPr>
          <w:rFonts w:hint="eastAsia" w:ascii="宋体" w:hAnsi="宋体" w:eastAsia="宋体" w:cs="宋体"/>
          <w:color w:val="auto"/>
          <w:sz w:val="30"/>
          <w:szCs w:val="30"/>
          <w:u w:val="none"/>
        </w:rPr>
        <w:t>收</w:t>
      </w:r>
      <w:r>
        <w:rPr>
          <w:rFonts w:hint="eastAsia" w:ascii="宋体" w:hAnsi="宋体" w:eastAsia="宋体" w:cs="宋体"/>
          <w:color w:val="auto"/>
          <w:sz w:val="30"/>
          <w:szCs w:val="30"/>
          <w:u w:val="none"/>
          <w:lang w:val="en-US" w:eastAsia="zh-CN"/>
        </w:rPr>
        <w:t xml:space="preserve"> </w:t>
      </w:r>
      <w:r>
        <w:rPr>
          <w:rFonts w:hint="eastAsia" w:ascii="宋体" w:hAnsi="宋体" w:eastAsia="宋体" w:cs="宋体"/>
          <w:color w:val="auto"/>
          <w:sz w:val="30"/>
          <w:szCs w:val="30"/>
          <w:u w:val="none"/>
        </w:rPr>
        <w:t>款</w:t>
      </w:r>
      <w:r>
        <w:rPr>
          <w:rFonts w:hint="eastAsia" w:ascii="宋体" w:hAnsi="宋体" w:eastAsia="宋体" w:cs="宋体"/>
          <w:color w:val="auto"/>
          <w:sz w:val="30"/>
          <w:szCs w:val="30"/>
          <w:u w:val="none"/>
          <w:lang w:val="en-US" w:eastAsia="zh-CN"/>
        </w:rPr>
        <w:t xml:space="preserve"> </w:t>
      </w:r>
      <w:r>
        <w:rPr>
          <w:rFonts w:hint="eastAsia" w:ascii="宋体" w:hAnsi="宋体" w:eastAsia="宋体" w:cs="宋体"/>
          <w:color w:val="auto"/>
          <w:sz w:val="30"/>
          <w:szCs w:val="30"/>
          <w:u w:val="none"/>
        </w:rPr>
        <w:t>人：</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sz w:val="30"/>
          <w:szCs w:val="30"/>
          <w:u w:val="single"/>
          <w:vertAlign w:val="baseline"/>
          <w:lang w:val="en-US" w:eastAsia="zh-CN"/>
        </w:rPr>
        <w:t xml:space="preserve">                                  </w:t>
      </w:r>
      <w:r>
        <w:rPr>
          <w:rFonts w:hint="eastAsia" w:ascii="宋体" w:hAnsi="宋体" w:eastAsia="宋体" w:cs="宋体"/>
          <w:color w:val="auto"/>
          <w:sz w:val="30"/>
          <w:szCs w:val="30"/>
          <w:u w:val="single"/>
          <w:lang w:val="en-US" w:eastAsia="zh-CN"/>
        </w:rPr>
        <w:t xml:space="preserve"> </w:t>
      </w:r>
    </w:p>
    <w:p w14:paraId="44C44E9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u w:val="none"/>
        </w:rPr>
        <w:t>以上账户信息为乙方提供，如因账户信息错误而造成的法律风险或损失等由乙方承担。</w:t>
      </w:r>
    </w:p>
    <w:p w14:paraId="7326D19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b/>
          <w:color w:val="auto"/>
          <w:sz w:val="30"/>
          <w:szCs w:val="30"/>
        </w:rPr>
      </w:pPr>
    </w:p>
    <w:p w14:paraId="77F6F8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第七章  物业维修资金的管理</w:t>
      </w:r>
    </w:p>
    <w:p w14:paraId="4946C9E3">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lang w:val="en-US" w:eastAsia="zh-CN"/>
        </w:rPr>
      </w:pPr>
      <w:r>
        <w:rPr>
          <w:rFonts w:hint="eastAsia" w:ascii="宋体" w:hAnsi="宋体" w:eastAsia="宋体" w:cs="宋体"/>
          <w:b/>
          <w:color w:val="auto"/>
          <w:sz w:val="30"/>
          <w:szCs w:val="30"/>
        </w:rPr>
        <w:t>第十</w:t>
      </w:r>
      <w:r>
        <w:rPr>
          <w:rFonts w:hint="eastAsia" w:ascii="宋体" w:hAnsi="宋体" w:eastAsia="宋体" w:cs="宋体"/>
          <w:b/>
          <w:color w:val="auto"/>
          <w:sz w:val="30"/>
          <w:szCs w:val="30"/>
          <w:lang w:eastAsia="zh-CN"/>
        </w:rPr>
        <w:t>七</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物业维修资金的合理使用，将影响到物业维修养护的实施。乙方应根据小区实际情况，做好房屋本体维修资金的计划管理，做到专款专用，同时加强使用房屋本体维修资金项目的可行性和施工监管，确保资金的科学使用。在维保期内不得动用维修资金；维保期后物业维修资金动用由乙方列出计划，甲方和业委会审批同意后使用；审批同意后按相关规定办理；物业维修资金的后续征集由甲方和业委会审批同意。</w:t>
      </w:r>
      <w:r>
        <w:rPr>
          <w:rFonts w:hint="eastAsia" w:ascii="宋体" w:hAnsi="宋体" w:eastAsia="宋体" w:cs="宋体"/>
          <w:color w:val="auto"/>
          <w:sz w:val="30"/>
          <w:szCs w:val="30"/>
          <w:lang w:val="en-US" w:eastAsia="zh-CN"/>
        </w:rPr>
        <w:t>在到达维修资金使用年限与标准后，甲方不再承担维修维护责任，由乙方承担维修责任或按照维修资金启动与使用标准开展相关程序。</w:t>
      </w:r>
    </w:p>
    <w:p w14:paraId="56BCD4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30"/>
          <w:szCs w:val="30"/>
        </w:rPr>
      </w:pPr>
    </w:p>
    <w:p w14:paraId="505825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color w:val="auto"/>
          <w:sz w:val="30"/>
          <w:szCs w:val="30"/>
        </w:rPr>
      </w:pPr>
      <w:r>
        <w:rPr>
          <w:rFonts w:hint="eastAsia" w:ascii="宋体" w:hAnsi="宋体" w:eastAsia="宋体" w:cs="宋体"/>
          <w:color w:val="auto"/>
          <w:sz w:val="30"/>
          <w:szCs w:val="30"/>
        </w:rPr>
        <w:t xml:space="preserve">                  </w:t>
      </w:r>
      <w:r>
        <w:rPr>
          <w:rFonts w:hint="eastAsia" w:ascii="宋体" w:hAnsi="宋体" w:eastAsia="宋体" w:cs="宋体"/>
          <w:b/>
          <w:color w:val="auto"/>
          <w:sz w:val="30"/>
          <w:szCs w:val="30"/>
        </w:rPr>
        <w:t>第八章  履约保证金的支付</w:t>
      </w:r>
    </w:p>
    <w:p w14:paraId="284F0772">
      <w:pPr>
        <w:keepNext w:val="0"/>
        <w:keepLines w:val="0"/>
        <w:pageBreakBefore w:val="0"/>
        <w:widowControl w:val="0"/>
        <w:kinsoku/>
        <w:wordWrap/>
        <w:overflowPunct/>
        <w:topLinePunct w:val="0"/>
        <w:autoSpaceDE/>
        <w:autoSpaceDN/>
        <w:bidi w:val="0"/>
        <w:adjustRightInd/>
        <w:snapToGrid/>
        <w:spacing w:line="560" w:lineRule="exact"/>
        <w:ind w:firstLine="446" w:firstLineChars="148"/>
        <w:textAlignment w:val="auto"/>
        <w:rPr>
          <w:rFonts w:hint="eastAsia" w:ascii="宋体" w:hAnsi="宋体" w:eastAsia="宋体" w:cs="宋体"/>
          <w:color w:val="auto"/>
          <w:sz w:val="30"/>
          <w:szCs w:val="30"/>
          <w:lang w:val="en-US" w:eastAsia="zh-CN"/>
        </w:rPr>
      </w:pPr>
      <w:r>
        <w:rPr>
          <w:rFonts w:hint="eastAsia" w:ascii="宋体" w:hAnsi="宋体" w:eastAsia="宋体" w:cs="宋体"/>
          <w:b/>
          <w:color w:val="auto"/>
          <w:sz w:val="30"/>
          <w:szCs w:val="30"/>
        </w:rPr>
        <w:t xml:space="preserve"> 第</w:t>
      </w:r>
      <w:r>
        <w:rPr>
          <w:rFonts w:hint="eastAsia" w:ascii="宋体" w:hAnsi="宋体" w:eastAsia="宋体" w:cs="宋体"/>
          <w:b/>
          <w:color w:val="auto"/>
          <w:sz w:val="30"/>
          <w:szCs w:val="30"/>
          <w:lang w:eastAsia="zh-CN"/>
        </w:rPr>
        <w:t>十八</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乙方</w:t>
      </w:r>
      <w:r>
        <w:rPr>
          <w:rFonts w:hint="eastAsia" w:ascii="宋体" w:hAnsi="宋体" w:eastAsia="宋体" w:cs="宋体"/>
          <w:color w:val="auto"/>
          <w:sz w:val="30"/>
          <w:szCs w:val="30"/>
          <w:lang w:eastAsia="zh-CN"/>
        </w:rPr>
        <w:t>于</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lang w:val="en-US" w:eastAsia="zh-CN"/>
        </w:rPr>
        <w:t>年</w:t>
      </w:r>
      <w:r>
        <w:rPr>
          <w:rFonts w:hint="eastAsia" w:ascii="宋体" w:hAnsi="宋体" w:eastAsia="宋体" w:cs="宋体"/>
          <w:color w:val="auto"/>
          <w:sz w:val="30"/>
          <w:szCs w:val="30"/>
          <w:u w:val="single"/>
          <w:lang w:val="en-US" w:eastAsia="zh-CN"/>
        </w:rPr>
        <w:t xml:space="preserve">   </w:t>
      </w:r>
      <w:r>
        <w:rPr>
          <w:rFonts w:hint="eastAsia" w:ascii="宋体" w:hAnsi="宋体" w:eastAsia="宋体" w:cs="宋体"/>
          <w:color w:val="auto"/>
          <w:sz w:val="30"/>
          <w:szCs w:val="30"/>
          <w:lang w:val="en-US" w:eastAsia="zh-CN"/>
        </w:rPr>
        <w:t>月向甲方缴纳的履约保证金，共计人民</w:t>
      </w:r>
      <w:r>
        <w:rPr>
          <w:rFonts w:hint="eastAsia" w:ascii="宋体" w:hAnsi="宋体" w:eastAsia="宋体" w:cs="宋体"/>
          <w:color w:val="auto"/>
          <w:sz w:val="30"/>
          <w:szCs w:val="30"/>
          <w:highlight w:val="none"/>
          <w:lang w:val="en-US" w:eastAsia="zh-CN"/>
        </w:rPr>
        <w:t>币</w:t>
      </w:r>
      <w:r>
        <w:rPr>
          <w:rFonts w:hint="eastAsia" w:ascii="宋体" w:hAnsi="宋体" w:eastAsia="宋体" w:cs="宋体"/>
          <w:color w:val="auto"/>
          <w:sz w:val="30"/>
          <w:szCs w:val="30"/>
          <w:highlight w:val="none"/>
          <w:u w:val="single"/>
          <w:lang w:val="en-US" w:eastAsia="zh-CN"/>
        </w:rPr>
        <w:t>叁万</w:t>
      </w:r>
      <w:r>
        <w:rPr>
          <w:rFonts w:hint="eastAsia" w:ascii="宋体" w:hAnsi="宋体" w:eastAsia="宋体" w:cs="宋体"/>
          <w:color w:val="auto"/>
          <w:sz w:val="30"/>
          <w:szCs w:val="30"/>
          <w:highlight w:val="none"/>
          <w:lang w:val="en-US" w:eastAsia="zh-CN"/>
        </w:rPr>
        <w:t>元整(</w:t>
      </w:r>
      <w:r>
        <w:rPr>
          <w:rFonts w:hint="eastAsia" w:ascii="宋体" w:hAnsi="宋体" w:eastAsia="宋体" w:cs="宋体"/>
          <w:color w:val="auto"/>
          <w:sz w:val="30"/>
          <w:szCs w:val="30"/>
          <w:highlight w:val="none"/>
          <w:u w:val="single"/>
          <w:lang w:val="en-US" w:eastAsia="zh-CN"/>
        </w:rPr>
        <w:t>￥30000.00</w:t>
      </w:r>
      <w:r>
        <w:rPr>
          <w:rFonts w:hint="eastAsia" w:ascii="宋体" w:hAnsi="宋体" w:eastAsia="宋体" w:cs="宋体"/>
          <w:color w:val="auto"/>
          <w:sz w:val="30"/>
          <w:szCs w:val="30"/>
          <w:highlight w:val="none"/>
          <w:lang w:val="en-US" w:eastAsia="zh-CN"/>
        </w:rPr>
        <w:t>），且乙方有权选择以中国四大行的银行保函形式替代现金方式缴纳。。</w:t>
      </w:r>
      <w:r>
        <w:rPr>
          <w:rFonts w:hint="eastAsia" w:ascii="宋体" w:hAnsi="宋体" w:eastAsia="宋体" w:cs="宋体"/>
          <w:color w:val="auto"/>
          <w:sz w:val="30"/>
          <w:szCs w:val="30"/>
          <w:lang w:val="en-US" w:eastAsia="zh-CN"/>
        </w:rPr>
        <w:t>根据双方约定的内容，合同期满后或不属于乙方原因造成的本合同终止，且乙方未违反本合同约定的事项，甲方于合同终止后一次性无息返还乙方的履约保证金。若合同续延，则履约保证金的期限一并续延。</w:t>
      </w:r>
    </w:p>
    <w:p w14:paraId="7F7581AF">
      <w:pPr>
        <w:keepNext w:val="0"/>
        <w:keepLines w:val="0"/>
        <w:pageBreakBefore w:val="0"/>
        <w:widowControl w:val="0"/>
        <w:kinsoku/>
        <w:wordWrap/>
        <w:overflowPunct/>
        <w:topLinePunct w:val="0"/>
        <w:autoSpaceDE/>
        <w:autoSpaceDN/>
        <w:bidi w:val="0"/>
        <w:adjustRightInd/>
        <w:snapToGrid/>
        <w:spacing w:line="560" w:lineRule="exact"/>
        <w:ind w:firstLine="444" w:firstLineChars="148"/>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 xml:space="preserve"> </w:t>
      </w:r>
    </w:p>
    <w:p w14:paraId="572084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 xml:space="preserve">                   </w:t>
      </w:r>
      <w:r>
        <w:rPr>
          <w:rFonts w:hint="eastAsia" w:ascii="宋体" w:hAnsi="宋体" w:eastAsia="宋体" w:cs="宋体"/>
          <w:b/>
          <w:color w:val="auto"/>
          <w:sz w:val="30"/>
          <w:szCs w:val="30"/>
        </w:rPr>
        <w:t>第</w:t>
      </w:r>
      <w:r>
        <w:rPr>
          <w:rFonts w:hint="eastAsia" w:ascii="宋体" w:hAnsi="宋体" w:eastAsia="宋体" w:cs="宋体"/>
          <w:b/>
          <w:color w:val="auto"/>
          <w:sz w:val="30"/>
          <w:szCs w:val="30"/>
          <w:lang w:eastAsia="zh-CN"/>
        </w:rPr>
        <w:t>九</w:t>
      </w:r>
      <w:r>
        <w:rPr>
          <w:rFonts w:hint="eastAsia" w:ascii="宋体" w:hAnsi="宋体" w:eastAsia="宋体" w:cs="宋体"/>
          <w:b/>
          <w:color w:val="auto"/>
          <w:sz w:val="30"/>
          <w:szCs w:val="30"/>
        </w:rPr>
        <w:t xml:space="preserve">章  </w:t>
      </w:r>
      <w:r>
        <w:rPr>
          <w:rFonts w:hint="eastAsia" w:ascii="宋体" w:hAnsi="宋体" w:eastAsia="宋体" w:cs="宋体"/>
          <w:b/>
          <w:color w:val="auto"/>
          <w:sz w:val="30"/>
          <w:szCs w:val="30"/>
          <w:lang w:eastAsia="zh-CN"/>
        </w:rPr>
        <w:t>物业管理用房</w:t>
      </w:r>
      <w:r>
        <w:rPr>
          <w:rFonts w:hint="eastAsia" w:ascii="宋体" w:hAnsi="宋体" w:eastAsia="宋体" w:cs="宋体"/>
          <w:color w:val="auto"/>
          <w:sz w:val="30"/>
          <w:szCs w:val="30"/>
          <w:lang w:val="en-US" w:eastAsia="zh-CN"/>
        </w:rPr>
        <w:t xml:space="preserve"> </w:t>
      </w:r>
    </w:p>
    <w:p w14:paraId="458234A0">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w:t>
      </w:r>
      <w:r>
        <w:rPr>
          <w:rFonts w:hint="eastAsia" w:ascii="宋体" w:hAnsi="宋体" w:eastAsia="宋体" w:cs="宋体"/>
          <w:b/>
          <w:color w:val="auto"/>
          <w:sz w:val="30"/>
          <w:szCs w:val="30"/>
          <w:lang w:eastAsia="zh-CN"/>
        </w:rPr>
        <w:t>十九</w:t>
      </w:r>
      <w:r>
        <w:rPr>
          <w:rFonts w:hint="eastAsia" w:ascii="宋体" w:hAnsi="宋体" w:eastAsia="宋体" w:cs="宋体"/>
          <w:b/>
          <w:color w:val="auto"/>
          <w:sz w:val="30"/>
          <w:szCs w:val="30"/>
        </w:rPr>
        <w:t>条</w:t>
      </w:r>
      <w:r>
        <w:rPr>
          <w:rFonts w:hint="eastAsia" w:ascii="宋体" w:hAnsi="宋体" w:eastAsia="宋体" w:cs="宋体"/>
          <w:b/>
          <w:color w:val="auto"/>
          <w:sz w:val="30"/>
          <w:szCs w:val="30"/>
          <w:lang w:val="en-US" w:eastAsia="zh-CN"/>
        </w:rPr>
        <w:t xml:space="preserve">   </w:t>
      </w:r>
      <w:r>
        <w:rPr>
          <w:rFonts w:hint="eastAsia" w:ascii="宋体" w:hAnsi="宋体" w:eastAsia="宋体" w:cs="宋体"/>
          <w:color w:val="auto"/>
          <w:sz w:val="30"/>
          <w:szCs w:val="30"/>
        </w:rPr>
        <w:t>根据《长沙市物业管理用房规定》，甲方应当在本项目入住前30日向乙方提供物业管理服务用房，所有权属全体业主共有，具体位置及面积由双方协调解决。</w:t>
      </w:r>
    </w:p>
    <w:p w14:paraId="15851F67">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lang w:val="en-US" w:eastAsia="zh-CN"/>
        </w:rPr>
      </w:pPr>
      <w:r>
        <w:rPr>
          <w:rFonts w:hint="eastAsia" w:ascii="宋体" w:hAnsi="宋体" w:eastAsia="宋体" w:cs="宋体"/>
          <w:b/>
          <w:color w:val="auto"/>
          <w:sz w:val="30"/>
          <w:szCs w:val="30"/>
        </w:rPr>
        <w:t>第二十条</w:t>
      </w:r>
      <w:r>
        <w:rPr>
          <w:rFonts w:hint="eastAsia" w:ascii="宋体" w:hAnsi="宋体" w:eastAsia="宋体" w:cs="宋体"/>
          <w:color w:val="auto"/>
          <w:sz w:val="30"/>
          <w:szCs w:val="30"/>
        </w:rPr>
        <w:t xml:space="preserve"> 为使小区物业管理在入住后能正常进行，乙方应按双方约定的方案对物业管理用房（包含但不限于管理处客户服务中心）进行装修，以满足办公和基本生活需求。</w:t>
      </w:r>
      <w:r>
        <w:rPr>
          <w:rFonts w:hint="eastAsia" w:ascii="宋体" w:hAnsi="宋体" w:eastAsia="宋体" w:cs="宋体"/>
          <w:color w:val="auto"/>
          <w:sz w:val="30"/>
          <w:szCs w:val="30"/>
          <w:lang w:val="en-US" w:eastAsia="zh-CN"/>
        </w:rPr>
        <w:t>物业办公用房的装修标准由甲方进行审核，如超过甲方规定的标准及要求则由乙方自行承担。</w:t>
      </w:r>
      <w:r>
        <w:rPr>
          <w:rFonts w:hint="eastAsia" w:ascii="宋体" w:hAnsi="宋体" w:eastAsia="宋体" w:cs="宋体"/>
          <w:color w:val="auto"/>
          <w:sz w:val="30"/>
          <w:szCs w:val="30"/>
        </w:rPr>
        <w:t>物业管理用房属甲方或全体业主所有，由乙方在本合同期限内无偿使用。本合同终止，乙方应在三个工作日内将物业管理用房交还给甲方或业主委员会。</w:t>
      </w:r>
      <w:r>
        <w:rPr>
          <w:rFonts w:hint="eastAsia" w:ascii="宋体" w:hAnsi="宋体" w:eastAsia="宋体" w:cs="宋体"/>
          <w:color w:val="auto"/>
          <w:sz w:val="30"/>
          <w:szCs w:val="30"/>
          <w:lang w:val="en-US" w:eastAsia="zh-CN"/>
        </w:rPr>
        <w:t>乙方不得对物业管理用房另作他用，由此带来的责任与法律纠纷由乙方承担。</w:t>
      </w:r>
    </w:p>
    <w:p w14:paraId="50A7BC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color w:val="auto"/>
          <w:sz w:val="30"/>
          <w:szCs w:val="30"/>
        </w:rPr>
      </w:pPr>
    </w:p>
    <w:p w14:paraId="7F07BA17">
      <w:pPr>
        <w:keepNext w:val="0"/>
        <w:keepLines w:val="0"/>
        <w:pageBreakBefore w:val="0"/>
        <w:widowControl w:val="0"/>
        <w:kinsoku/>
        <w:wordWrap/>
        <w:overflowPunct/>
        <w:topLinePunct w:val="0"/>
        <w:autoSpaceDE/>
        <w:autoSpaceDN/>
        <w:bidi w:val="0"/>
        <w:adjustRightInd/>
        <w:snapToGrid/>
        <w:spacing w:line="560" w:lineRule="exact"/>
        <w:ind w:left="901" w:leftChars="429" w:firstLine="1807" w:firstLineChars="600"/>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w:t>
      </w:r>
      <w:r>
        <w:rPr>
          <w:rFonts w:hint="eastAsia" w:ascii="宋体" w:hAnsi="宋体" w:eastAsia="宋体" w:cs="宋体"/>
          <w:b/>
          <w:color w:val="auto"/>
          <w:sz w:val="30"/>
          <w:szCs w:val="30"/>
          <w:lang w:eastAsia="zh-CN"/>
        </w:rPr>
        <w:t>十</w:t>
      </w:r>
      <w:r>
        <w:rPr>
          <w:rFonts w:hint="eastAsia" w:ascii="宋体" w:hAnsi="宋体" w:eastAsia="宋体" w:cs="宋体"/>
          <w:b/>
          <w:color w:val="auto"/>
          <w:sz w:val="30"/>
          <w:szCs w:val="30"/>
        </w:rPr>
        <w:t>章   合同期限</w:t>
      </w:r>
    </w:p>
    <w:p w14:paraId="7603C622">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lang w:eastAsia="zh-CN"/>
        </w:rPr>
      </w:pPr>
      <w:r>
        <w:rPr>
          <w:rFonts w:hint="eastAsia" w:ascii="宋体" w:hAnsi="宋体" w:eastAsia="宋体" w:cs="宋体"/>
          <w:b/>
          <w:color w:val="auto"/>
          <w:sz w:val="30"/>
          <w:szCs w:val="30"/>
        </w:rPr>
        <w:t>第二十</w:t>
      </w:r>
      <w:r>
        <w:rPr>
          <w:rFonts w:hint="eastAsia" w:ascii="宋体" w:hAnsi="宋体" w:eastAsia="宋体" w:cs="宋体"/>
          <w:b/>
          <w:color w:val="auto"/>
          <w:sz w:val="30"/>
          <w:szCs w:val="30"/>
          <w:lang w:eastAsia="zh-CN"/>
        </w:rPr>
        <w:t>一</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w:t>
      </w:r>
      <w:r>
        <w:rPr>
          <w:rFonts w:hint="eastAsia" w:ascii="宋体" w:hAnsi="宋体" w:eastAsia="宋体" w:cs="宋体"/>
          <w:i w:val="0"/>
          <w:iCs w:val="0"/>
          <w:caps w:val="0"/>
          <w:color w:val="auto"/>
          <w:spacing w:val="0"/>
          <w:sz w:val="30"/>
          <w:szCs w:val="30"/>
          <w:shd w:val="clear"/>
        </w:rPr>
        <w:t>物业管理服务期限自合同签订之日起至小区成立业委会并选聘新物业公司且本小区“5平方米物业”按政策文件移交给所属街道或村集体经济组织之日止</w:t>
      </w:r>
      <w:r>
        <w:rPr>
          <w:rFonts w:hint="eastAsia" w:ascii="宋体" w:hAnsi="宋体" w:eastAsia="宋体" w:cs="宋体"/>
          <w:i w:val="0"/>
          <w:iCs w:val="0"/>
          <w:caps w:val="0"/>
          <w:color w:val="auto"/>
          <w:spacing w:val="0"/>
          <w:sz w:val="30"/>
          <w:szCs w:val="30"/>
          <w:shd w:val="clear"/>
          <w:lang w:eastAsia="zh-CN"/>
        </w:rPr>
        <w:t>。</w:t>
      </w:r>
    </w:p>
    <w:p w14:paraId="2E0B5CE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在此期间乙方未履行合同或履行合同不符合约定，不遵守承诺或达不到甲方要求，甲方有权</w:t>
      </w:r>
      <w:r>
        <w:rPr>
          <w:rFonts w:hint="eastAsia" w:ascii="宋体" w:hAnsi="宋体" w:eastAsia="宋体" w:cs="宋体"/>
          <w:color w:val="auto"/>
          <w:sz w:val="30"/>
          <w:szCs w:val="30"/>
          <w:lang w:val="en-US" w:eastAsia="zh-CN"/>
        </w:rPr>
        <w:t>无条件</w:t>
      </w:r>
      <w:r>
        <w:rPr>
          <w:rFonts w:hint="eastAsia" w:ascii="宋体" w:hAnsi="宋体" w:eastAsia="宋体" w:cs="宋体"/>
          <w:color w:val="auto"/>
          <w:sz w:val="30"/>
          <w:szCs w:val="30"/>
        </w:rPr>
        <w:t>解除合同，</w:t>
      </w:r>
      <w:r>
        <w:rPr>
          <w:rFonts w:hint="eastAsia" w:ascii="宋体" w:hAnsi="宋体" w:eastAsia="宋体" w:cs="宋体"/>
          <w:color w:val="auto"/>
          <w:sz w:val="30"/>
          <w:szCs w:val="30"/>
          <w:lang w:val="en-US" w:eastAsia="zh-CN"/>
        </w:rPr>
        <w:t>并要求乙方退场，</w:t>
      </w:r>
      <w:r>
        <w:rPr>
          <w:rFonts w:hint="eastAsia" w:ascii="宋体" w:hAnsi="宋体" w:eastAsia="宋体" w:cs="宋体"/>
          <w:color w:val="auto"/>
          <w:sz w:val="30"/>
          <w:szCs w:val="30"/>
        </w:rPr>
        <w:t>其一切责任由乙方负责，乙方不得以任何理由向甲方提出任何索赔要求。</w:t>
      </w:r>
    </w:p>
    <w:p w14:paraId="2C7042D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rPr>
        <w:t>合同期内，乙方每年须</w:t>
      </w:r>
      <w:r>
        <w:rPr>
          <w:rFonts w:hint="eastAsia" w:ascii="宋体" w:hAnsi="宋体" w:eastAsia="宋体" w:cs="宋体"/>
          <w:color w:val="auto"/>
          <w:sz w:val="30"/>
          <w:szCs w:val="30"/>
          <w:lang w:val="en-US" w:eastAsia="zh-CN"/>
        </w:rPr>
        <w:t>请第三方对小区</w:t>
      </w:r>
      <w:r>
        <w:rPr>
          <w:rFonts w:hint="eastAsia" w:ascii="宋体" w:hAnsi="宋体" w:eastAsia="宋体" w:cs="宋体"/>
          <w:color w:val="auto"/>
          <w:sz w:val="30"/>
          <w:szCs w:val="30"/>
        </w:rPr>
        <w:t>开展不少于一次的客户满意度调查，</w:t>
      </w:r>
      <w:r>
        <w:rPr>
          <w:rFonts w:hint="eastAsia" w:ascii="宋体" w:hAnsi="宋体" w:eastAsia="宋体" w:cs="宋体"/>
          <w:color w:val="auto"/>
          <w:sz w:val="30"/>
          <w:szCs w:val="30"/>
          <w:lang w:val="en-US" w:eastAsia="zh-CN"/>
        </w:rPr>
        <w:t>调查结果由第三方直接向甲方出具。</w:t>
      </w:r>
      <w:r>
        <w:rPr>
          <w:rFonts w:hint="eastAsia" w:ascii="宋体" w:hAnsi="宋体" w:eastAsia="宋体" w:cs="宋体"/>
          <w:color w:val="auto"/>
          <w:sz w:val="30"/>
          <w:szCs w:val="30"/>
        </w:rPr>
        <w:t>如小区20%以上（含20%）业主对乙方物业服务不满意的，甲方有权视情形扣除支付给乙方的物业管理费用；如小区30%以上（含30%）业主对乙方物业服务不满意或存在异议，或者小区成立业主委员会并选聘了新的物业服务企业，则甲方有权终止本合同，乙方不得以任何理由向甲方或业主委员会提出任何索赔要求。</w:t>
      </w:r>
      <w:r>
        <w:rPr>
          <w:rFonts w:hint="eastAsia" w:ascii="宋体" w:hAnsi="宋体" w:eastAsia="宋体" w:cs="宋体"/>
          <w:color w:val="auto"/>
          <w:sz w:val="30"/>
          <w:szCs w:val="30"/>
          <w:lang w:val="en-US" w:eastAsia="zh-CN"/>
        </w:rPr>
        <w:t>如未进行满意度调查甲方将按照年度考核考评的等级予以评定。</w:t>
      </w:r>
    </w:p>
    <w:p w14:paraId="21DEBFCB">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w:t>
      </w:r>
      <w:r>
        <w:rPr>
          <w:rFonts w:hint="eastAsia" w:ascii="宋体" w:hAnsi="宋体" w:eastAsia="宋体" w:cs="宋体"/>
          <w:b/>
          <w:color w:val="auto"/>
          <w:sz w:val="30"/>
          <w:szCs w:val="30"/>
          <w:lang w:eastAsia="zh-CN"/>
        </w:rPr>
        <w:t>二十二</w:t>
      </w:r>
      <w:r>
        <w:rPr>
          <w:rFonts w:hint="eastAsia" w:ascii="宋体" w:hAnsi="宋体" w:eastAsia="宋体" w:cs="宋体"/>
          <w:b/>
          <w:color w:val="auto"/>
          <w:sz w:val="30"/>
          <w:szCs w:val="30"/>
          <w:u w:val="none"/>
        </w:rPr>
        <w:t>条</w:t>
      </w:r>
      <w:r>
        <w:rPr>
          <w:rFonts w:hint="eastAsia" w:ascii="宋体" w:hAnsi="宋体" w:eastAsia="宋体" w:cs="宋体"/>
          <w:color w:val="auto"/>
          <w:sz w:val="30"/>
          <w:szCs w:val="30"/>
          <w:u w:val="none"/>
        </w:rPr>
        <w:t xml:space="preserve">  </w:t>
      </w:r>
      <w:r>
        <w:rPr>
          <w:rFonts w:hint="eastAsia" w:ascii="宋体" w:hAnsi="宋体" w:eastAsia="宋体" w:cs="宋体"/>
          <w:color w:val="auto"/>
          <w:sz w:val="30"/>
          <w:szCs w:val="30"/>
          <w:u w:val="none"/>
          <w:lang w:val="en-US" w:eastAsia="zh-CN"/>
        </w:rPr>
        <w:t>业委会与乙方或重新选聘的物</w:t>
      </w:r>
      <w:r>
        <w:rPr>
          <w:rFonts w:hint="eastAsia" w:ascii="宋体" w:hAnsi="宋体" w:eastAsia="宋体" w:cs="宋体"/>
          <w:color w:val="auto"/>
          <w:sz w:val="30"/>
          <w:szCs w:val="30"/>
          <w:lang w:val="en-US" w:eastAsia="zh-CN"/>
        </w:rPr>
        <w:t>业公司签订新的物业管理服务合同提供给甲方，同时甲方也作为业主共同参与。如需甲方支付物业管理费用的，则甲方享有对物业公司的考核考评</w:t>
      </w:r>
      <w:r>
        <w:rPr>
          <w:rFonts w:hint="eastAsia" w:ascii="宋体" w:hAnsi="宋体" w:eastAsia="宋体" w:cs="宋体"/>
          <w:color w:val="auto"/>
          <w:sz w:val="30"/>
          <w:szCs w:val="30"/>
        </w:rPr>
        <w:t>权</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lang w:val="en-US" w:eastAsia="zh-CN"/>
        </w:rPr>
        <w:t>并须按照甲方相关流程及要求请款。</w:t>
      </w:r>
      <w:r>
        <w:rPr>
          <w:rFonts w:hint="eastAsia" w:ascii="宋体" w:hAnsi="宋体" w:eastAsia="宋体" w:cs="宋体"/>
          <w:color w:val="auto"/>
          <w:sz w:val="30"/>
          <w:szCs w:val="30"/>
        </w:rPr>
        <w:t xml:space="preserve">  </w:t>
      </w:r>
      <w:r>
        <w:rPr>
          <w:rFonts w:hint="eastAsia" w:ascii="宋体" w:hAnsi="宋体" w:eastAsia="宋体" w:cs="宋体"/>
          <w:b/>
          <w:color w:val="auto"/>
          <w:sz w:val="30"/>
          <w:szCs w:val="30"/>
        </w:rPr>
        <w:t xml:space="preserve"> </w:t>
      </w:r>
    </w:p>
    <w:p w14:paraId="38E8AC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p>
    <w:p w14:paraId="2F65F6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第十</w:t>
      </w:r>
      <w:r>
        <w:rPr>
          <w:rFonts w:hint="eastAsia" w:ascii="宋体" w:hAnsi="宋体" w:eastAsia="宋体" w:cs="宋体"/>
          <w:b/>
          <w:color w:val="auto"/>
          <w:sz w:val="30"/>
          <w:szCs w:val="30"/>
          <w:lang w:eastAsia="zh-CN"/>
        </w:rPr>
        <w:t>一</w:t>
      </w:r>
      <w:r>
        <w:rPr>
          <w:rFonts w:hint="eastAsia" w:ascii="宋体" w:hAnsi="宋体" w:eastAsia="宋体" w:cs="宋体"/>
          <w:b/>
          <w:color w:val="auto"/>
          <w:sz w:val="30"/>
          <w:szCs w:val="30"/>
        </w:rPr>
        <w:t>章   违约责任</w:t>
      </w:r>
    </w:p>
    <w:p w14:paraId="24E2C0F9">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第二十</w:t>
      </w:r>
      <w:r>
        <w:rPr>
          <w:rFonts w:hint="eastAsia" w:ascii="宋体" w:hAnsi="宋体" w:eastAsia="宋体" w:cs="宋体"/>
          <w:b/>
          <w:color w:val="auto"/>
          <w:sz w:val="30"/>
          <w:szCs w:val="30"/>
          <w:lang w:eastAsia="zh-CN"/>
        </w:rPr>
        <w:t>三</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甲方</w:t>
      </w:r>
      <w:r>
        <w:rPr>
          <w:rFonts w:hint="eastAsia" w:ascii="宋体" w:hAnsi="宋体" w:eastAsia="宋体" w:cs="宋体"/>
          <w:color w:val="auto"/>
          <w:sz w:val="30"/>
          <w:szCs w:val="30"/>
          <w:lang w:val="en-US" w:eastAsia="zh-CN"/>
        </w:rPr>
        <w:t>在无任何原因的情况下</w:t>
      </w:r>
      <w:r>
        <w:rPr>
          <w:rFonts w:hint="eastAsia" w:ascii="宋体" w:hAnsi="宋体" w:eastAsia="宋体" w:cs="宋体"/>
          <w:color w:val="auto"/>
          <w:sz w:val="30"/>
          <w:szCs w:val="30"/>
        </w:rPr>
        <w:t>未能按时如数</w:t>
      </w:r>
      <w:r>
        <w:rPr>
          <w:rFonts w:hint="eastAsia" w:ascii="宋体" w:hAnsi="宋体" w:eastAsia="宋体" w:cs="宋体"/>
          <w:color w:val="auto"/>
          <w:sz w:val="30"/>
          <w:szCs w:val="30"/>
          <w:lang w:val="en-US" w:eastAsia="zh-CN"/>
        </w:rPr>
        <w:t>支付</w:t>
      </w:r>
      <w:r>
        <w:rPr>
          <w:rFonts w:hint="eastAsia" w:ascii="宋体" w:hAnsi="宋体" w:eastAsia="宋体" w:cs="宋体"/>
          <w:color w:val="auto"/>
          <w:sz w:val="30"/>
          <w:szCs w:val="30"/>
        </w:rPr>
        <w:t>物业管理费的，乙方可以从逾期之日起按应交费用每日万分之</w:t>
      </w:r>
      <w:r>
        <w:rPr>
          <w:rFonts w:hint="eastAsia" w:ascii="宋体" w:hAnsi="宋体" w:eastAsia="宋体" w:cs="宋体"/>
          <w:color w:val="auto"/>
          <w:sz w:val="30"/>
          <w:szCs w:val="30"/>
          <w:lang w:eastAsia="zh-CN"/>
        </w:rPr>
        <w:t>一</w:t>
      </w:r>
      <w:r>
        <w:rPr>
          <w:rFonts w:hint="eastAsia" w:ascii="宋体" w:hAnsi="宋体" w:eastAsia="宋体" w:cs="宋体"/>
          <w:color w:val="auto"/>
          <w:sz w:val="30"/>
          <w:szCs w:val="30"/>
        </w:rPr>
        <w:t>的标准加收违约金。拖欠费用</w:t>
      </w:r>
      <w:r>
        <w:rPr>
          <w:rFonts w:hint="eastAsia" w:ascii="宋体" w:hAnsi="宋体" w:eastAsia="宋体" w:cs="宋体"/>
          <w:color w:val="auto"/>
          <w:sz w:val="30"/>
          <w:szCs w:val="30"/>
          <w:lang w:val="en-US" w:eastAsia="zh-CN"/>
        </w:rPr>
        <w:t>六</w:t>
      </w:r>
      <w:r>
        <w:rPr>
          <w:rFonts w:hint="eastAsia" w:ascii="宋体" w:hAnsi="宋体" w:eastAsia="宋体" w:cs="宋体"/>
          <w:color w:val="auto"/>
          <w:sz w:val="30"/>
          <w:szCs w:val="30"/>
        </w:rPr>
        <w:t>个月以上，乙方可向违约方提起诉讼。</w:t>
      </w:r>
    </w:p>
    <w:p w14:paraId="5B8CC302">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第二十</w:t>
      </w:r>
      <w:r>
        <w:rPr>
          <w:rFonts w:hint="eastAsia" w:ascii="宋体" w:hAnsi="宋体" w:eastAsia="宋体" w:cs="宋体"/>
          <w:b/>
          <w:color w:val="auto"/>
          <w:sz w:val="30"/>
          <w:szCs w:val="30"/>
          <w:lang w:eastAsia="zh-CN"/>
        </w:rPr>
        <w:t>四</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经甲方考核，乙方违反本合同的服务内容</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质量标准</w:t>
      </w:r>
      <w:r>
        <w:rPr>
          <w:rFonts w:hint="eastAsia" w:ascii="宋体" w:hAnsi="宋体" w:eastAsia="宋体" w:cs="宋体"/>
          <w:color w:val="auto"/>
          <w:sz w:val="30"/>
          <w:szCs w:val="30"/>
          <w:lang w:val="en-US" w:eastAsia="zh-CN"/>
        </w:rPr>
        <w:t>和甲方考核规定的事项时</w:t>
      </w:r>
      <w:r>
        <w:rPr>
          <w:rFonts w:hint="eastAsia" w:ascii="宋体" w:hAnsi="宋体" w:eastAsia="宋体" w:cs="宋体"/>
          <w:color w:val="auto"/>
          <w:sz w:val="30"/>
          <w:szCs w:val="30"/>
        </w:rPr>
        <w:t>，乙方在收到甲方发出的违约</w:t>
      </w:r>
      <w:r>
        <w:rPr>
          <w:rFonts w:hint="eastAsia" w:ascii="宋体" w:hAnsi="宋体" w:eastAsia="宋体" w:cs="宋体"/>
          <w:color w:val="auto"/>
          <w:sz w:val="30"/>
          <w:szCs w:val="30"/>
          <w:lang w:val="en-US" w:eastAsia="zh-CN"/>
        </w:rPr>
        <w:t>或整改</w:t>
      </w:r>
      <w:r>
        <w:rPr>
          <w:rFonts w:hint="eastAsia" w:ascii="宋体" w:hAnsi="宋体" w:eastAsia="宋体" w:cs="宋体"/>
          <w:color w:val="auto"/>
          <w:sz w:val="30"/>
          <w:szCs w:val="30"/>
        </w:rPr>
        <w:t>通知后10天内，乙方仍未纠正其下述任何一种违约行为，甲方可向乙方发出终止合同通知，由此带来的一切损失由乙方承担：</w:t>
      </w:r>
    </w:p>
    <w:p w14:paraId="67D5A8A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1、乙方未能在合同规定的期限内及时进场；</w:t>
      </w:r>
    </w:p>
    <w:p w14:paraId="1BA7369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2、乙方提供的服务质量不符合合同规定，且未及时纠正的；</w:t>
      </w:r>
    </w:p>
    <w:p w14:paraId="1EDA3AE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3、乙方未能履行合同项下的任何其他义务的</w:t>
      </w:r>
      <w:r>
        <w:rPr>
          <w:rFonts w:hint="eastAsia" w:ascii="宋体" w:hAnsi="宋体" w:eastAsia="宋体" w:cs="宋体"/>
          <w:color w:val="auto"/>
          <w:sz w:val="30"/>
          <w:szCs w:val="30"/>
          <w:lang w:eastAsia="zh-CN"/>
        </w:rPr>
        <w:t>；</w:t>
      </w:r>
    </w:p>
    <w:p w14:paraId="2D4CF71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4、乙方未按照甲方要求配合甲方其它工作的；</w:t>
      </w:r>
    </w:p>
    <w:p w14:paraId="0309975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5、乙方管理或服务不佳导致业主投诉的；</w:t>
      </w:r>
    </w:p>
    <w:p w14:paraId="37459A7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6、包括但不限于以上因素。</w:t>
      </w:r>
    </w:p>
    <w:p w14:paraId="400056C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以上损失包含直接损失和间接损失，包括但不限于诉讼费、保全费、保全保险费、公告费、律师费、鉴定费、交通费、执行费等等。</w:t>
      </w:r>
    </w:p>
    <w:p w14:paraId="5438C304">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第二十</w:t>
      </w:r>
      <w:r>
        <w:rPr>
          <w:rFonts w:hint="eastAsia" w:ascii="宋体" w:hAnsi="宋体" w:eastAsia="宋体" w:cs="宋体"/>
          <w:b/>
          <w:color w:val="auto"/>
          <w:sz w:val="30"/>
          <w:szCs w:val="30"/>
          <w:lang w:eastAsia="zh-CN"/>
        </w:rPr>
        <w:t>五</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双方约定，以下条件下所致的损害，可构成对乙方的免责事由：</w:t>
      </w:r>
    </w:p>
    <w:p w14:paraId="2BADFC0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1、因不可抗力导致的中断服务或物业价值的贬损；</w:t>
      </w:r>
    </w:p>
    <w:p w14:paraId="59F6FE4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2、因物业本身固有的瑕疵造成的损害；</w:t>
      </w:r>
    </w:p>
    <w:p w14:paraId="7DB03F5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3、因维修、养护共用部位、共用设施设备需要而暂时停水、停电或停止共用设施设备的使用；</w:t>
      </w:r>
    </w:p>
    <w:p w14:paraId="407E753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4、因非乙方责任造成的供水、供电、供热、中央空调、通讯、有线电视及其他共用设施设备的障碍和损失</w:t>
      </w:r>
      <w:r>
        <w:rPr>
          <w:rFonts w:hint="eastAsia" w:ascii="宋体" w:hAnsi="宋体" w:eastAsia="宋体" w:cs="宋体"/>
          <w:color w:val="auto"/>
          <w:sz w:val="30"/>
          <w:szCs w:val="30"/>
          <w:lang w:eastAsia="zh-CN"/>
        </w:rPr>
        <w:t>；</w:t>
      </w:r>
    </w:p>
    <w:p w14:paraId="7C2D019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5、如出现3、4项事由，乙方应当向业主或物业使用人（或经营人）履行告知义务。</w:t>
      </w:r>
    </w:p>
    <w:p w14:paraId="540B5CAC">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第二十</w:t>
      </w:r>
      <w:r>
        <w:rPr>
          <w:rFonts w:hint="eastAsia" w:ascii="宋体" w:hAnsi="宋体" w:eastAsia="宋体" w:cs="宋体"/>
          <w:b/>
          <w:color w:val="auto"/>
          <w:sz w:val="30"/>
          <w:szCs w:val="30"/>
          <w:lang w:eastAsia="zh-CN"/>
        </w:rPr>
        <w:t>六</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乙方须严格执行国家有关安全生产的法律法规，及时消除安全隐患，确保不发生安全生产责任事故，因发生安全生产责任事故而造成的法律责任、事故经济损失由乙方承担；在物业管理服务过程中，因乙方自身原因造成乙方、乙方雇员及他人的人身伤害和财产损失，由乙方承担相应的法律责任并赔偿相关单位及人员的经济损失，甲方不承担任何连带责任。</w:t>
      </w:r>
    </w:p>
    <w:p w14:paraId="613DDA1F">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第二十</w:t>
      </w:r>
      <w:r>
        <w:rPr>
          <w:rFonts w:hint="eastAsia" w:ascii="宋体" w:hAnsi="宋体" w:eastAsia="宋体" w:cs="宋体"/>
          <w:b/>
          <w:color w:val="auto"/>
          <w:sz w:val="30"/>
          <w:szCs w:val="30"/>
          <w:lang w:eastAsia="zh-CN"/>
        </w:rPr>
        <w:t>七</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一方违约造成另一方人员、财产损失的，违约方要赔偿对方经济损失。本章第二十</w:t>
      </w:r>
      <w:r>
        <w:rPr>
          <w:rFonts w:hint="eastAsia" w:ascii="宋体" w:hAnsi="宋体" w:eastAsia="宋体" w:cs="宋体"/>
          <w:color w:val="auto"/>
          <w:sz w:val="30"/>
          <w:szCs w:val="30"/>
          <w:lang w:eastAsia="zh-CN"/>
        </w:rPr>
        <w:t>四</w:t>
      </w:r>
      <w:r>
        <w:rPr>
          <w:rFonts w:hint="eastAsia" w:ascii="宋体" w:hAnsi="宋体" w:eastAsia="宋体" w:cs="宋体"/>
          <w:color w:val="auto"/>
          <w:sz w:val="30"/>
          <w:szCs w:val="30"/>
        </w:rPr>
        <w:t>条除外。</w:t>
      </w:r>
    </w:p>
    <w:p w14:paraId="48542F09">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第二十</w:t>
      </w:r>
      <w:r>
        <w:rPr>
          <w:rFonts w:hint="eastAsia" w:ascii="宋体" w:hAnsi="宋体" w:eastAsia="宋体" w:cs="宋体"/>
          <w:b/>
          <w:color w:val="auto"/>
          <w:sz w:val="30"/>
          <w:szCs w:val="30"/>
          <w:lang w:eastAsia="zh-CN"/>
        </w:rPr>
        <w:t>八</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合同一经签定，双方不能无故终止合同。无正当理由提前终止合同的一方，应向对方支付人民币壹拾万元整的违约金及赔偿对方因此造成的经济损失。</w:t>
      </w:r>
    </w:p>
    <w:p w14:paraId="078D11E6">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w:t>
      </w:r>
      <w:r>
        <w:rPr>
          <w:rFonts w:hint="eastAsia" w:ascii="宋体" w:hAnsi="宋体" w:eastAsia="宋体" w:cs="宋体"/>
          <w:b/>
          <w:color w:val="auto"/>
          <w:sz w:val="30"/>
          <w:szCs w:val="30"/>
          <w:lang w:eastAsia="zh-CN"/>
        </w:rPr>
        <w:t>二十九</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如遇突发或重大事件，乙方管理人员应在第一时间报告甲方有关部门，乙方项目负责人应在第一时间到达现场，适时处理或协助处理有关问题，甲方如认为情况涉及到甲方的安定管理，乙方应同意甲方直接调配乙方资源直到危机结束。</w:t>
      </w:r>
    </w:p>
    <w:p w14:paraId="09A4600F">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w:t>
      </w:r>
      <w:r>
        <w:rPr>
          <w:rFonts w:hint="eastAsia" w:ascii="宋体" w:hAnsi="宋体" w:eastAsia="宋体" w:cs="宋体"/>
          <w:b/>
          <w:color w:val="auto"/>
          <w:sz w:val="30"/>
          <w:szCs w:val="30"/>
          <w:lang w:eastAsia="zh-CN"/>
        </w:rPr>
        <w:t>三十</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乙方人员必须严格遵守操作规程，如因违反操作规程而造成甲方财物损失的，乙方应付全部赔偿责任。因房屋建筑质量、设备设施质量或安装技术等原因，达不到使用功能，造成重大事故的，由甲方承担责任并作善后处理，产生质量事故的直接原因，以政府主管部门的鉴定为准。</w:t>
      </w:r>
    </w:p>
    <w:p w14:paraId="53022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 xml:space="preserve">               </w:t>
      </w:r>
    </w:p>
    <w:p w14:paraId="14D92D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第十</w:t>
      </w:r>
      <w:r>
        <w:rPr>
          <w:rFonts w:hint="eastAsia" w:ascii="宋体" w:hAnsi="宋体" w:eastAsia="宋体" w:cs="宋体"/>
          <w:b/>
          <w:color w:val="auto"/>
          <w:sz w:val="30"/>
          <w:szCs w:val="30"/>
          <w:lang w:eastAsia="zh-CN"/>
        </w:rPr>
        <w:t>二</w:t>
      </w:r>
      <w:r>
        <w:rPr>
          <w:rFonts w:hint="eastAsia" w:ascii="宋体" w:hAnsi="宋体" w:eastAsia="宋体" w:cs="宋体"/>
          <w:b/>
          <w:color w:val="auto"/>
          <w:sz w:val="30"/>
          <w:szCs w:val="30"/>
        </w:rPr>
        <w:t>章   其他事项</w:t>
      </w:r>
    </w:p>
    <w:p w14:paraId="214887EE">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第三十</w:t>
      </w:r>
      <w:r>
        <w:rPr>
          <w:rFonts w:hint="eastAsia" w:ascii="宋体" w:hAnsi="宋体" w:eastAsia="宋体" w:cs="宋体"/>
          <w:b/>
          <w:color w:val="auto"/>
          <w:sz w:val="30"/>
          <w:szCs w:val="30"/>
          <w:lang w:eastAsia="zh-CN"/>
        </w:rPr>
        <w:t>一</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本合同未尽事宜，双方可以另行以书面形式签订补充协议，补充协议与本合同存在冲突的，以补充协议为准。</w:t>
      </w:r>
    </w:p>
    <w:p w14:paraId="0C0D00A7">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第三十</w:t>
      </w:r>
      <w:r>
        <w:rPr>
          <w:rFonts w:hint="eastAsia" w:ascii="宋体" w:hAnsi="宋体" w:eastAsia="宋体" w:cs="宋体"/>
          <w:b/>
          <w:color w:val="auto"/>
          <w:sz w:val="30"/>
          <w:szCs w:val="30"/>
          <w:lang w:eastAsia="zh-CN"/>
        </w:rPr>
        <w:t>二</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本合同在履行中发生争议，由双方协商解决，协商不成可向雨花区人民法院起诉。</w:t>
      </w:r>
    </w:p>
    <w:p w14:paraId="4686842A">
      <w:pPr>
        <w:keepNext w:val="0"/>
        <w:keepLines w:val="0"/>
        <w:pageBreakBefore w:val="0"/>
        <w:widowControl w:val="0"/>
        <w:kinsoku/>
        <w:wordWrap/>
        <w:overflowPunct/>
        <w:topLinePunct w:val="0"/>
        <w:autoSpaceDE/>
        <w:autoSpaceDN/>
        <w:bidi w:val="0"/>
        <w:adjustRightInd/>
        <w:snapToGrid/>
        <w:spacing w:line="560" w:lineRule="exact"/>
        <w:ind w:firstLine="596" w:firstLineChars="198"/>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第三十</w:t>
      </w:r>
      <w:r>
        <w:rPr>
          <w:rFonts w:hint="eastAsia" w:ascii="宋体" w:hAnsi="宋体" w:eastAsia="宋体" w:cs="宋体"/>
          <w:b/>
          <w:color w:val="auto"/>
          <w:sz w:val="30"/>
          <w:szCs w:val="30"/>
          <w:lang w:eastAsia="zh-CN"/>
        </w:rPr>
        <w:t>三</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本合同一式</w:t>
      </w:r>
      <w:r>
        <w:rPr>
          <w:rFonts w:hint="eastAsia" w:ascii="宋体" w:hAnsi="宋体" w:eastAsia="宋体" w:cs="宋体"/>
          <w:color w:val="auto"/>
          <w:sz w:val="30"/>
          <w:szCs w:val="30"/>
          <w:u w:val="single"/>
          <w:lang w:val="en-US" w:eastAsia="zh-CN"/>
        </w:rPr>
        <w:t>伍</w:t>
      </w:r>
      <w:r>
        <w:rPr>
          <w:rFonts w:hint="eastAsia" w:ascii="宋体" w:hAnsi="宋体" w:eastAsia="宋体" w:cs="宋体"/>
          <w:color w:val="auto"/>
          <w:sz w:val="30"/>
          <w:szCs w:val="30"/>
        </w:rPr>
        <w:t>份，甲乙双方各执</w:t>
      </w:r>
      <w:r>
        <w:rPr>
          <w:rFonts w:hint="eastAsia" w:ascii="宋体" w:hAnsi="宋体" w:eastAsia="宋体" w:cs="宋体"/>
          <w:color w:val="auto"/>
          <w:sz w:val="30"/>
          <w:szCs w:val="30"/>
          <w:u w:val="single"/>
        </w:rPr>
        <w:t>贰</w:t>
      </w:r>
      <w:r>
        <w:rPr>
          <w:rFonts w:hint="eastAsia" w:ascii="宋体" w:hAnsi="宋体" w:eastAsia="宋体" w:cs="宋体"/>
          <w:color w:val="auto"/>
          <w:sz w:val="30"/>
          <w:szCs w:val="30"/>
        </w:rPr>
        <w:t>份，物业管理行政主管部门备案</w:t>
      </w:r>
      <w:r>
        <w:rPr>
          <w:rFonts w:hint="eastAsia" w:ascii="宋体" w:hAnsi="宋体" w:eastAsia="宋体" w:cs="宋体"/>
          <w:color w:val="auto"/>
          <w:sz w:val="30"/>
          <w:szCs w:val="30"/>
          <w:u w:val="single"/>
        </w:rPr>
        <w:t>壹</w:t>
      </w:r>
      <w:r>
        <w:rPr>
          <w:rFonts w:hint="eastAsia" w:ascii="宋体" w:hAnsi="宋体" w:eastAsia="宋体" w:cs="宋体"/>
          <w:color w:val="auto"/>
          <w:sz w:val="30"/>
          <w:szCs w:val="30"/>
        </w:rPr>
        <w:t>份。</w:t>
      </w:r>
    </w:p>
    <w:p w14:paraId="14164B0B">
      <w:pPr>
        <w:spacing w:line="560" w:lineRule="exact"/>
        <w:ind w:firstLine="596" w:firstLineChars="198"/>
        <w:rPr>
          <w:rFonts w:hint="eastAsia" w:ascii="宋体" w:hAnsi="宋体" w:eastAsia="宋体" w:cs="宋体"/>
          <w:color w:val="auto"/>
          <w:sz w:val="30"/>
          <w:szCs w:val="30"/>
        </w:rPr>
      </w:pPr>
      <w:r>
        <w:rPr>
          <w:rFonts w:hint="eastAsia" w:ascii="宋体" w:hAnsi="宋体" w:eastAsia="宋体" w:cs="宋体"/>
          <w:b/>
          <w:color w:val="auto"/>
          <w:sz w:val="30"/>
          <w:szCs w:val="30"/>
        </w:rPr>
        <w:t>第三十</w:t>
      </w:r>
      <w:r>
        <w:rPr>
          <w:rFonts w:hint="eastAsia" w:ascii="宋体" w:hAnsi="宋体" w:eastAsia="宋体" w:cs="宋体"/>
          <w:b/>
          <w:color w:val="auto"/>
          <w:sz w:val="30"/>
          <w:szCs w:val="30"/>
          <w:lang w:eastAsia="zh-CN"/>
        </w:rPr>
        <w:t>四</w:t>
      </w:r>
      <w:r>
        <w:rPr>
          <w:rFonts w:hint="eastAsia" w:ascii="宋体" w:hAnsi="宋体" w:eastAsia="宋体" w:cs="宋体"/>
          <w:b/>
          <w:color w:val="auto"/>
          <w:sz w:val="30"/>
          <w:szCs w:val="30"/>
        </w:rPr>
        <w:t>条</w:t>
      </w:r>
      <w:r>
        <w:rPr>
          <w:rFonts w:hint="eastAsia" w:ascii="宋体" w:hAnsi="宋体" w:eastAsia="宋体" w:cs="宋体"/>
          <w:color w:val="auto"/>
          <w:sz w:val="30"/>
          <w:szCs w:val="30"/>
        </w:rPr>
        <w:t xml:space="preserve">  本合同自双方签字盖章之日起生效。</w:t>
      </w:r>
    </w:p>
    <w:p w14:paraId="390F2A43">
      <w:pPr>
        <w:spacing w:line="580" w:lineRule="exact"/>
        <w:rPr>
          <w:rFonts w:hint="eastAsia" w:ascii="宋体" w:hAnsi="宋体" w:eastAsia="宋体" w:cs="宋体"/>
          <w:color w:val="auto"/>
          <w:sz w:val="30"/>
          <w:szCs w:val="30"/>
        </w:rPr>
      </w:pPr>
    </w:p>
    <w:p w14:paraId="43AD477F">
      <w:pPr>
        <w:spacing w:line="580" w:lineRule="exact"/>
        <w:rPr>
          <w:rFonts w:hint="eastAsia" w:ascii="宋体" w:hAnsi="宋体" w:eastAsia="宋体" w:cs="宋体"/>
          <w:color w:val="auto"/>
          <w:sz w:val="30"/>
          <w:szCs w:val="30"/>
        </w:rPr>
      </w:pPr>
    </w:p>
    <w:p w14:paraId="2AC0A19E">
      <w:pPr>
        <w:spacing w:line="580" w:lineRule="exact"/>
        <w:rPr>
          <w:rFonts w:hint="eastAsia" w:ascii="宋体" w:hAnsi="宋体" w:eastAsia="宋体" w:cs="宋体"/>
          <w:color w:val="auto"/>
          <w:sz w:val="30"/>
          <w:szCs w:val="30"/>
        </w:rPr>
      </w:pPr>
    </w:p>
    <w:p w14:paraId="01A120D4">
      <w:pPr>
        <w:spacing w:line="580" w:lineRule="exact"/>
        <w:rPr>
          <w:rFonts w:hint="eastAsia" w:ascii="宋体" w:hAnsi="宋体" w:eastAsia="宋体" w:cs="宋体"/>
          <w:color w:val="auto"/>
          <w:sz w:val="30"/>
          <w:szCs w:val="30"/>
        </w:rPr>
      </w:pPr>
    </w:p>
    <w:p w14:paraId="6A89805D">
      <w:pPr>
        <w:keepNext w:val="0"/>
        <w:keepLines w:val="0"/>
        <w:pageBreakBefore w:val="0"/>
        <w:widowControl w:val="0"/>
        <w:kinsoku/>
        <w:wordWrap/>
        <w:overflowPunct/>
        <w:topLinePunct w:val="0"/>
        <w:autoSpaceDE/>
        <w:autoSpaceDN/>
        <w:bidi w:val="0"/>
        <w:adjustRightInd/>
        <w:snapToGrid/>
        <w:spacing w:line="360" w:lineRule="auto"/>
        <w:ind w:left="210" w:leftChars="100"/>
        <w:textAlignment w:val="auto"/>
        <w:rPr>
          <w:rFonts w:hint="eastAsia" w:ascii="宋体" w:hAnsi="宋体" w:eastAsia="宋体" w:cs="宋体"/>
          <w:color w:val="auto"/>
          <w:sz w:val="30"/>
          <w:szCs w:val="30"/>
        </w:rPr>
      </w:pPr>
      <w:r>
        <w:rPr>
          <w:rFonts w:hint="eastAsia" w:ascii="宋体" w:hAnsi="宋体" w:eastAsia="宋体" w:cs="宋体"/>
          <w:b/>
          <w:color w:val="auto"/>
          <w:sz w:val="30"/>
          <w:szCs w:val="30"/>
        </w:rPr>
        <w:t>甲方（签章）：                     乙方（签章）：</w:t>
      </w:r>
    </w:p>
    <w:p w14:paraId="38D69541">
      <w:pPr>
        <w:keepNext w:val="0"/>
        <w:keepLines w:val="0"/>
        <w:pageBreakBefore w:val="0"/>
        <w:widowControl w:val="0"/>
        <w:kinsoku/>
        <w:wordWrap/>
        <w:overflowPunct/>
        <w:topLinePunct w:val="0"/>
        <w:autoSpaceDE/>
        <w:autoSpaceDN/>
        <w:bidi w:val="0"/>
        <w:adjustRightInd/>
        <w:snapToGrid/>
        <w:spacing w:line="360" w:lineRule="auto"/>
        <w:ind w:leftChars="100"/>
        <w:textAlignment w:val="auto"/>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法定</w:t>
      </w:r>
      <w:r>
        <w:rPr>
          <w:rFonts w:hint="eastAsia" w:ascii="宋体" w:hAnsi="宋体" w:eastAsia="宋体" w:cs="宋体"/>
          <w:color w:val="auto"/>
          <w:sz w:val="30"/>
          <w:szCs w:val="30"/>
        </w:rPr>
        <w:t>代表</w:t>
      </w:r>
      <w:r>
        <w:rPr>
          <w:rFonts w:hint="eastAsia" w:ascii="宋体" w:hAnsi="宋体" w:eastAsia="宋体" w:cs="宋体"/>
          <w:color w:val="auto"/>
          <w:sz w:val="30"/>
          <w:szCs w:val="30"/>
          <w:lang w:val="en-US" w:eastAsia="zh-CN"/>
        </w:rPr>
        <w:t>人或</w:t>
      </w:r>
      <w:r>
        <w:rPr>
          <w:rFonts w:hint="eastAsia" w:ascii="宋体" w:hAnsi="宋体" w:eastAsia="宋体" w:cs="宋体"/>
          <w:color w:val="auto"/>
          <w:sz w:val="30"/>
          <w:szCs w:val="30"/>
        </w:rPr>
        <w:t xml:space="preserve">                       </w:t>
      </w:r>
      <w:r>
        <w:rPr>
          <w:rFonts w:hint="eastAsia" w:ascii="宋体" w:hAnsi="宋体" w:eastAsia="宋体" w:cs="宋体"/>
          <w:color w:val="auto"/>
          <w:sz w:val="30"/>
          <w:szCs w:val="30"/>
          <w:lang w:val="en-US" w:eastAsia="zh-CN"/>
        </w:rPr>
        <w:t>法定</w:t>
      </w:r>
      <w:r>
        <w:rPr>
          <w:rFonts w:hint="eastAsia" w:ascii="宋体" w:hAnsi="宋体" w:eastAsia="宋体" w:cs="宋体"/>
          <w:color w:val="auto"/>
          <w:sz w:val="30"/>
          <w:szCs w:val="30"/>
        </w:rPr>
        <w:t>代表</w:t>
      </w:r>
      <w:r>
        <w:rPr>
          <w:rFonts w:hint="eastAsia" w:ascii="宋体" w:hAnsi="宋体" w:eastAsia="宋体" w:cs="宋体"/>
          <w:color w:val="auto"/>
          <w:sz w:val="30"/>
          <w:szCs w:val="30"/>
          <w:lang w:val="en-US" w:eastAsia="zh-CN"/>
        </w:rPr>
        <w:t>人：</w:t>
      </w:r>
    </w:p>
    <w:p w14:paraId="3A1BB040">
      <w:pPr>
        <w:keepNext w:val="0"/>
        <w:keepLines w:val="0"/>
        <w:pageBreakBefore w:val="0"/>
        <w:widowControl w:val="0"/>
        <w:kinsoku/>
        <w:wordWrap/>
        <w:overflowPunct/>
        <w:topLinePunct w:val="0"/>
        <w:autoSpaceDE/>
        <w:autoSpaceDN/>
        <w:bidi w:val="0"/>
        <w:adjustRightInd/>
        <w:snapToGrid/>
        <w:spacing w:line="360" w:lineRule="auto"/>
        <w:ind w:leftChars="100"/>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或授权代表：                       或授权代表：</w:t>
      </w:r>
    </w:p>
    <w:p w14:paraId="0BF3CC0C">
      <w:pPr>
        <w:keepNext w:val="0"/>
        <w:keepLines w:val="0"/>
        <w:pageBreakBefore w:val="0"/>
        <w:widowControl w:val="0"/>
        <w:kinsoku/>
        <w:wordWrap/>
        <w:overflowPunct/>
        <w:topLinePunct w:val="0"/>
        <w:autoSpaceDE/>
        <w:autoSpaceDN/>
        <w:bidi w:val="0"/>
        <w:adjustRightInd/>
        <w:snapToGrid/>
        <w:spacing w:line="360" w:lineRule="auto"/>
        <w:ind w:leftChars="100"/>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经办人：                           经办人：</w:t>
      </w:r>
    </w:p>
    <w:p w14:paraId="3D994630">
      <w:pPr>
        <w:keepNext w:val="0"/>
        <w:keepLines w:val="0"/>
        <w:pageBreakBefore w:val="0"/>
        <w:widowControl w:val="0"/>
        <w:kinsoku/>
        <w:wordWrap/>
        <w:overflowPunct/>
        <w:topLinePunct w:val="0"/>
        <w:autoSpaceDE/>
        <w:autoSpaceDN/>
        <w:bidi w:val="0"/>
        <w:adjustRightInd/>
        <w:snapToGrid/>
        <w:spacing w:line="360" w:lineRule="auto"/>
        <w:ind w:leftChars="100" w:firstLine="0" w:firstLineChars="0"/>
        <w:textAlignment w:val="auto"/>
        <w:rPr>
          <w:rFonts w:hint="eastAsia" w:ascii="宋体" w:hAnsi="宋体" w:eastAsia="宋体" w:cs="宋体"/>
          <w:b w:val="0"/>
          <w:color w:val="auto"/>
          <w:sz w:val="30"/>
          <w:szCs w:val="30"/>
          <w:lang w:val="en-US" w:eastAsia="zh-CN"/>
        </w:rPr>
      </w:pPr>
      <w:r>
        <w:rPr>
          <w:rFonts w:hint="eastAsia" w:ascii="宋体" w:hAnsi="宋体" w:eastAsia="宋体" w:cs="宋体"/>
          <w:b w:val="0"/>
          <w:color w:val="auto"/>
          <w:sz w:val="30"/>
          <w:szCs w:val="30"/>
          <w:lang w:val="en-US" w:eastAsia="zh-CN"/>
        </w:rPr>
        <w:t>送达地址：                         送达地址：</w:t>
      </w:r>
    </w:p>
    <w:p w14:paraId="1D151835">
      <w:pPr>
        <w:keepNext w:val="0"/>
        <w:keepLines w:val="0"/>
        <w:pageBreakBefore w:val="0"/>
        <w:widowControl w:val="0"/>
        <w:kinsoku/>
        <w:wordWrap/>
        <w:overflowPunct/>
        <w:topLinePunct w:val="0"/>
        <w:autoSpaceDE/>
        <w:autoSpaceDN/>
        <w:bidi w:val="0"/>
        <w:adjustRightInd/>
        <w:snapToGrid/>
        <w:spacing w:line="360" w:lineRule="auto"/>
        <w:ind w:leftChars="100"/>
        <w:textAlignment w:val="auto"/>
        <w:rPr>
          <w:rFonts w:hint="eastAsia" w:ascii="宋体" w:hAnsi="宋体" w:eastAsia="宋体" w:cs="宋体"/>
          <w:b w:val="0"/>
          <w:color w:val="auto"/>
          <w:sz w:val="30"/>
          <w:szCs w:val="30"/>
          <w:lang w:val="en-US" w:eastAsia="zh-CN"/>
        </w:rPr>
      </w:pPr>
      <w:r>
        <w:rPr>
          <w:rFonts w:hint="eastAsia" w:ascii="宋体" w:hAnsi="宋体" w:eastAsia="宋体" w:cs="宋体"/>
          <w:b w:val="0"/>
          <w:color w:val="auto"/>
          <w:sz w:val="30"/>
          <w:szCs w:val="30"/>
          <w:lang w:val="en-US" w:eastAsia="zh-CN"/>
        </w:rPr>
        <w:t>联系电话：                         联系电话：</w:t>
      </w:r>
    </w:p>
    <w:p w14:paraId="1559865E">
      <w:pPr>
        <w:keepNext w:val="0"/>
        <w:keepLines w:val="0"/>
        <w:pageBreakBefore w:val="0"/>
        <w:widowControl w:val="0"/>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color w:val="auto"/>
          <w:sz w:val="30"/>
          <w:szCs w:val="30"/>
          <w:lang w:val="en-US" w:eastAsia="zh-CN"/>
        </w:rPr>
      </w:pPr>
    </w:p>
    <w:p w14:paraId="07DE6CB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 xml:space="preserve">             </w:t>
      </w:r>
    </w:p>
    <w:p w14:paraId="56067FFB">
      <w:pPr>
        <w:keepNext w:val="0"/>
        <w:keepLines w:val="0"/>
        <w:pageBreakBefore w:val="0"/>
        <w:widowControl w:val="0"/>
        <w:kinsoku/>
        <w:wordWrap/>
        <w:overflowPunct/>
        <w:topLinePunct w:val="0"/>
        <w:autoSpaceDE/>
        <w:autoSpaceDN/>
        <w:bidi w:val="0"/>
        <w:adjustRightInd/>
        <w:snapToGrid/>
        <w:spacing w:line="320" w:lineRule="exact"/>
        <w:ind w:firstLine="1506" w:firstLineChars="500"/>
        <w:jc w:val="right"/>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 xml:space="preserve">   签订时间：</w:t>
      </w:r>
      <w:r>
        <w:rPr>
          <w:rFonts w:hint="eastAsia" w:ascii="宋体" w:hAnsi="宋体" w:eastAsia="宋体" w:cs="宋体"/>
          <w:b/>
          <w:color w:val="auto"/>
          <w:sz w:val="30"/>
          <w:szCs w:val="30"/>
          <w:u w:val="single"/>
        </w:rPr>
        <w:t xml:space="preserve">     </w:t>
      </w:r>
      <w:r>
        <w:rPr>
          <w:rFonts w:hint="eastAsia" w:ascii="宋体" w:hAnsi="宋体" w:eastAsia="宋体" w:cs="宋体"/>
          <w:b/>
          <w:color w:val="auto"/>
          <w:sz w:val="30"/>
          <w:szCs w:val="30"/>
        </w:rPr>
        <w:t>年</w:t>
      </w:r>
      <w:r>
        <w:rPr>
          <w:rFonts w:hint="eastAsia" w:ascii="宋体" w:hAnsi="宋体" w:eastAsia="宋体" w:cs="宋体"/>
          <w:b/>
          <w:color w:val="auto"/>
          <w:sz w:val="30"/>
          <w:szCs w:val="30"/>
          <w:u w:val="single"/>
        </w:rPr>
        <w:t xml:space="preserve">     </w:t>
      </w:r>
      <w:r>
        <w:rPr>
          <w:rFonts w:hint="eastAsia" w:ascii="宋体" w:hAnsi="宋体" w:eastAsia="宋体" w:cs="宋体"/>
          <w:b/>
          <w:color w:val="auto"/>
          <w:sz w:val="30"/>
          <w:szCs w:val="30"/>
        </w:rPr>
        <w:t>月</w:t>
      </w:r>
      <w:r>
        <w:rPr>
          <w:rFonts w:hint="eastAsia" w:ascii="宋体" w:hAnsi="宋体" w:eastAsia="宋体" w:cs="宋体"/>
          <w:b/>
          <w:color w:val="auto"/>
          <w:sz w:val="30"/>
          <w:szCs w:val="30"/>
          <w:u w:val="single"/>
        </w:rPr>
        <w:t xml:space="preserve">     </w:t>
      </w:r>
      <w:r>
        <w:rPr>
          <w:rFonts w:hint="eastAsia" w:ascii="宋体" w:hAnsi="宋体" w:eastAsia="宋体" w:cs="宋体"/>
          <w:b/>
          <w:color w:val="auto"/>
          <w:sz w:val="30"/>
          <w:szCs w:val="30"/>
        </w:rPr>
        <w:t>日</w:t>
      </w:r>
    </w:p>
    <w:p w14:paraId="087B59AB">
      <w:pPr>
        <w:rPr>
          <w:rFonts w:hint="eastAsia" w:ascii="宋体" w:hAnsi="宋体" w:eastAsia="宋体" w:cs="宋体"/>
          <w:color w:val="auto"/>
          <w:sz w:val="44"/>
          <w:szCs w:val="52"/>
        </w:rPr>
      </w:pPr>
    </w:p>
    <w:p w14:paraId="79AC9EB9">
      <w:pPr>
        <w:widowControl w:val="0"/>
        <w:spacing w:line="400" w:lineRule="exact"/>
        <w:ind w:firstLine="0" w:firstLineChars="0"/>
        <w:jc w:val="both"/>
        <w:rPr>
          <w:rFonts w:hint="eastAsia" w:ascii="宋体" w:hAnsi="宋体" w:eastAsia="宋体" w:cs="宋体"/>
          <w:color w:val="auto"/>
          <w:kern w:val="2"/>
          <w:sz w:val="21"/>
          <w:szCs w:val="24"/>
          <w:lang w:val="en-US" w:eastAsia="zh-CN" w:bidi="ar-SA"/>
        </w:rPr>
      </w:pPr>
    </w:p>
    <w:p w14:paraId="0B2DC65A">
      <w:pPr>
        <w:keepNext w:val="0"/>
        <w:keepLines w:val="0"/>
        <w:pageBreakBefore w:val="0"/>
        <w:widowControl w:val="0"/>
        <w:kinsoku/>
        <w:wordWrap/>
        <w:overflowPunct/>
        <w:topLinePunct w:val="0"/>
        <w:autoSpaceDE/>
        <w:autoSpaceDN/>
        <w:bidi w:val="0"/>
        <w:adjustRightInd/>
        <w:snapToGrid/>
        <w:spacing w:line="320" w:lineRule="exact"/>
        <w:ind w:firstLine="1506" w:firstLineChars="500"/>
        <w:jc w:val="right"/>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 xml:space="preserve">   </w:t>
      </w:r>
    </w:p>
    <w:p w14:paraId="7AEC0762">
      <w:pPr>
        <w:rPr>
          <w:rFonts w:hint="eastAsia" w:ascii="宋体" w:hAnsi="宋体" w:eastAsia="宋体" w:cs="宋体"/>
          <w:color w:val="auto"/>
          <w:sz w:val="44"/>
          <w:szCs w:val="52"/>
        </w:rPr>
      </w:pPr>
    </w:p>
    <w:p w14:paraId="785EB3F2">
      <w:pPr>
        <w:rPr>
          <w:rFonts w:hint="eastAsia" w:ascii="宋体" w:hAnsi="宋体" w:eastAsia="宋体" w:cs="宋体"/>
          <w:color w:val="auto"/>
          <w:sz w:val="44"/>
          <w:szCs w:val="52"/>
        </w:rPr>
      </w:pPr>
    </w:p>
    <w:p w14:paraId="22E0F994">
      <w:pPr>
        <w:rPr>
          <w:rFonts w:hint="eastAsia" w:ascii="宋体" w:hAnsi="宋体" w:eastAsia="宋体" w:cs="宋体"/>
          <w:color w:val="auto"/>
          <w:sz w:val="44"/>
          <w:szCs w:val="52"/>
        </w:rPr>
      </w:pPr>
    </w:p>
    <w:p w14:paraId="65C9EE48">
      <w:pPr>
        <w:rPr>
          <w:rFonts w:hint="eastAsia" w:ascii="宋体" w:hAnsi="宋体" w:eastAsia="宋体" w:cs="宋体"/>
          <w:color w:val="auto"/>
          <w:sz w:val="44"/>
          <w:szCs w:val="52"/>
        </w:rPr>
      </w:pPr>
    </w:p>
    <w:p w14:paraId="5D6116E0">
      <w:pPr>
        <w:rPr>
          <w:rFonts w:hint="eastAsia" w:ascii="宋体" w:hAnsi="宋体" w:eastAsia="宋体" w:cs="宋体"/>
          <w:color w:val="auto"/>
          <w:sz w:val="44"/>
          <w:szCs w:val="52"/>
        </w:rPr>
      </w:pPr>
    </w:p>
    <w:p w14:paraId="0C0A3AFB">
      <w:pPr>
        <w:rPr>
          <w:rFonts w:hint="eastAsia" w:ascii="宋体" w:hAnsi="宋体" w:eastAsia="宋体" w:cs="宋体"/>
          <w:color w:val="auto"/>
          <w:sz w:val="44"/>
          <w:szCs w:val="52"/>
        </w:rPr>
      </w:pPr>
    </w:p>
    <w:p w14:paraId="697B3514">
      <w:pPr>
        <w:rPr>
          <w:rFonts w:hint="eastAsia" w:ascii="宋体" w:hAnsi="宋体" w:eastAsia="宋体" w:cs="宋体"/>
          <w:color w:val="auto"/>
          <w:sz w:val="44"/>
          <w:szCs w:val="52"/>
        </w:rPr>
      </w:pPr>
    </w:p>
    <w:p w14:paraId="2F46B09F">
      <w:pPr>
        <w:rPr>
          <w:rFonts w:hint="eastAsia" w:ascii="宋体" w:hAnsi="宋体" w:eastAsia="宋体" w:cs="宋体"/>
          <w:color w:val="auto"/>
          <w:sz w:val="44"/>
          <w:szCs w:val="52"/>
        </w:rPr>
      </w:pPr>
    </w:p>
    <w:p w14:paraId="03C99789">
      <w:pPr>
        <w:rPr>
          <w:rFonts w:hint="eastAsia" w:ascii="宋体" w:hAnsi="宋体" w:eastAsia="宋体" w:cs="宋体"/>
          <w:color w:val="auto"/>
          <w:sz w:val="44"/>
          <w:szCs w:val="52"/>
        </w:rPr>
      </w:pPr>
    </w:p>
    <w:p w14:paraId="77251308">
      <w:pPr>
        <w:rPr>
          <w:rFonts w:hint="eastAsia" w:ascii="宋体" w:hAnsi="宋体" w:eastAsia="宋体" w:cs="宋体"/>
          <w:color w:val="auto"/>
          <w:sz w:val="44"/>
          <w:szCs w:val="52"/>
        </w:rPr>
      </w:pPr>
    </w:p>
    <w:p w14:paraId="43574E00">
      <w:pPr>
        <w:rPr>
          <w:rFonts w:hint="eastAsia" w:ascii="宋体" w:hAnsi="宋体" w:eastAsia="宋体" w:cs="宋体"/>
          <w:color w:val="auto"/>
          <w:sz w:val="44"/>
          <w:szCs w:val="52"/>
        </w:rPr>
      </w:pPr>
    </w:p>
    <w:p w14:paraId="6BB24134">
      <w:pPr>
        <w:rPr>
          <w:rFonts w:hint="eastAsia" w:ascii="宋体" w:hAnsi="宋体" w:eastAsia="宋体" w:cs="宋体"/>
          <w:color w:val="auto"/>
          <w:sz w:val="44"/>
          <w:szCs w:val="52"/>
        </w:rPr>
      </w:pPr>
    </w:p>
    <w:p w14:paraId="796CD14A">
      <w:pPr>
        <w:rPr>
          <w:rFonts w:hint="eastAsia" w:ascii="宋体" w:hAnsi="宋体" w:eastAsia="宋体" w:cs="宋体"/>
          <w:color w:val="auto"/>
          <w:sz w:val="44"/>
          <w:szCs w:val="52"/>
        </w:rPr>
      </w:pPr>
    </w:p>
    <w:p w14:paraId="332B3DC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val="0"/>
          <w:color w:val="auto"/>
          <w:sz w:val="32"/>
          <w:szCs w:val="32"/>
          <w:lang w:val="en-US" w:eastAsia="zh-CN"/>
        </w:rPr>
      </w:pPr>
    </w:p>
    <w:p w14:paraId="657B1A5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val="0"/>
          <w:color w:val="auto"/>
          <w:sz w:val="32"/>
          <w:szCs w:val="32"/>
          <w:lang w:val="en-US" w:eastAsia="zh-CN"/>
        </w:rPr>
      </w:pPr>
    </w:p>
    <w:p w14:paraId="61671953">
      <w:pPr>
        <w:pStyle w:val="2"/>
        <w:spacing w:line="360" w:lineRule="auto"/>
        <w:jc w:val="center"/>
        <w:rPr>
          <w:rFonts w:hint="eastAsia" w:ascii="宋体" w:hAnsi="宋体" w:eastAsia="宋体" w:cs="宋体"/>
          <w:color w:val="auto"/>
        </w:rPr>
      </w:pPr>
      <w:bookmarkStart w:id="197" w:name="_Toc31111"/>
      <w:bookmarkStart w:id="198" w:name="_Toc4728"/>
      <w:bookmarkStart w:id="199" w:name="_Toc4313"/>
      <w:bookmarkStart w:id="200" w:name="_Toc30374"/>
      <w:bookmarkStart w:id="201" w:name="_Toc7337"/>
      <w:bookmarkStart w:id="202" w:name="_Toc30343"/>
      <w:r>
        <w:rPr>
          <w:rFonts w:hint="eastAsia" w:ascii="宋体" w:hAnsi="宋体" w:eastAsia="宋体" w:cs="宋体"/>
          <w:color w:val="auto"/>
          <w:sz w:val="32"/>
          <w:szCs w:val="32"/>
          <w:u w:val="single"/>
        </w:rPr>
        <mc:AlternateContent>
          <mc:Choice Requires="wps">
            <w:drawing>
              <wp:anchor distT="0" distB="0" distL="0" distR="0" simplePos="0" relativeHeight="251659264" behindDoc="0" locked="0" layoutInCell="1" allowOverlap="1">
                <wp:simplePos x="0" y="0"/>
                <wp:positionH relativeFrom="column">
                  <wp:posOffset>4013200</wp:posOffset>
                </wp:positionH>
                <wp:positionV relativeFrom="paragraph">
                  <wp:posOffset>565150</wp:posOffset>
                </wp:positionV>
                <wp:extent cx="1266825" cy="495300"/>
                <wp:effectExtent l="4445" t="4445" r="8890" b="18415"/>
                <wp:wrapNone/>
                <wp:docPr id="1027" name="Text Box 15"/>
                <wp:cNvGraphicFramePr/>
                <a:graphic xmlns:a="http://schemas.openxmlformats.org/drawingml/2006/main">
                  <a:graphicData uri="http://schemas.microsoft.com/office/word/2010/wordprocessingShape">
                    <wps:wsp>
                      <wps:cNvSpPr/>
                      <wps:spPr>
                        <a:xfrm>
                          <a:off x="0" y="0"/>
                          <a:ext cx="126682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9C16C2">
                            <w:pPr>
                              <w:spacing w:before="144" w:beforeLines="60" w:line="360" w:lineRule="auto"/>
                              <w:ind w:firstLine="105" w:firstLineChars="50"/>
                            </w:pPr>
                            <w:r>
                              <w:rPr>
                                <w:szCs w:val="32"/>
                              </w:rPr>
                              <w:t>正本（或）</w:t>
                            </w:r>
                            <w:r>
                              <w:rPr>
                                <w:rFonts w:hint="eastAsia"/>
                                <w:szCs w:val="32"/>
                              </w:rPr>
                              <w:t>副本</w:t>
                            </w:r>
                          </w:p>
                        </w:txbxContent>
                      </wps:txbx>
                      <wps:bodyPr upright="1"/>
                    </wps:wsp>
                  </a:graphicData>
                </a:graphic>
              </wp:anchor>
            </w:drawing>
          </mc:Choice>
          <mc:Fallback>
            <w:pict>
              <v:rect id="Text Box 15" o:spid="_x0000_s1026" o:spt="1" style="position:absolute;left:0pt;margin-left:316pt;margin-top:44.5pt;height:39pt;width:99.75pt;z-index:251659264;mso-width-relative:page;mso-height-relative:page;" fillcolor="#FFFFFF" filled="t" stroked="t" coordsize="21600,21600" o:gfxdata="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GS1z3YAAAACgEAAA8AAAAAAAAAAQAgAAAAIgAAAGRycy9kb3ducmV2&#10;LnhtbFBLAQIUABQAAAAIAIdO4kAX8QGu/AEAAC8EAAAOAAAAAAAAAAEAIAAAACcBAABkcnMvZTJv&#10;RG9jLnhtbFBLBQYAAAAABgAGAFkBAACVBQAAAAA=&#10;">
                <v:fill on="t" focussize="0,0"/>
                <v:stroke color="#000000" joinstyle="miter"/>
                <v:imagedata o:title=""/>
                <o:lock v:ext="edit" aspectratio="f"/>
                <v:textbox>
                  <w:txbxContent>
                    <w:p w14:paraId="069C16C2">
                      <w:pPr>
                        <w:spacing w:before="144" w:beforeLines="60" w:line="360" w:lineRule="auto"/>
                        <w:ind w:firstLine="105" w:firstLineChars="50"/>
                      </w:pPr>
                      <w:r>
                        <w:rPr>
                          <w:szCs w:val="32"/>
                        </w:rPr>
                        <w:t>正本（或）</w:t>
                      </w:r>
                      <w:r>
                        <w:rPr>
                          <w:rFonts w:hint="eastAsia"/>
                          <w:szCs w:val="32"/>
                        </w:rPr>
                        <w:t>副本</w:t>
                      </w:r>
                    </w:p>
                  </w:txbxContent>
                </v:textbox>
              </v:rect>
            </w:pict>
          </mc:Fallback>
        </mc:AlternateContent>
      </w:r>
      <w:r>
        <w:rPr>
          <w:rFonts w:hint="eastAsia" w:ascii="宋体" w:hAnsi="宋体" w:eastAsia="宋体" w:cs="宋体"/>
          <w:color w:val="auto"/>
        </w:rPr>
        <w:t>第五章  投标文件</w:t>
      </w:r>
      <w:bookmarkEnd w:id="191"/>
      <w:r>
        <w:rPr>
          <w:rFonts w:hint="eastAsia" w:ascii="宋体" w:hAnsi="宋体" w:eastAsia="宋体" w:cs="宋体"/>
          <w:color w:val="auto"/>
        </w:rPr>
        <w:t>格式</w:t>
      </w:r>
      <w:bookmarkEnd w:id="197"/>
      <w:bookmarkEnd w:id="198"/>
      <w:bookmarkEnd w:id="199"/>
      <w:bookmarkEnd w:id="200"/>
      <w:bookmarkEnd w:id="201"/>
      <w:bookmarkEnd w:id="202"/>
    </w:p>
    <w:p w14:paraId="0815A534">
      <w:pPr>
        <w:pStyle w:val="32"/>
        <w:widowControl w:val="0"/>
        <w:spacing w:before="0" w:beforeAutospacing="0" w:after="0" w:afterAutospacing="0" w:line="360" w:lineRule="auto"/>
        <w:jc w:val="center"/>
        <w:rPr>
          <w:rFonts w:hint="eastAsia" w:ascii="宋体" w:hAnsi="宋体" w:eastAsia="宋体" w:cs="宋体"/>
          <w:color w:val="auto"/>
          <w:sz w:val="44"/>
          <w:szCs w:val="44"/>
        </w:rPr>
      </w:pPr>
    </w:p>
    <w:p w14:paraId="18A0FB33">
      <w:pPr>
        <w:pStyle w:val="32"/>
        <w:widowControl w:val="0"/>
        <w:spacing w:before="0" w:beforeAutospacing="0" w:after="0" w:afterAutospacing="0" w:line="360" w:lineRule="auto"/>
        <w:jc w:val="center"/>
        <w:rPr>
          <w:rFonts w:hint="eastAsia" w:ascii="宋体" w:hAnsi="宋体" w:eastAsia="宋体" w:cs="宋体"/>
          <w:color w:val="auto"/>
          <w:sz w:val="44"/>
          <w:szCs w:val="44"/>
          <w:lang w:eastAsia="zh-CN"/>
        </w:rPr>
      </w:pPr>
    </w:p>
    <w:p w14:paraId="5BD4B88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val="0"/>
          <w:color w:val="auto"/>
          <w:kern w:val="0"/>
          <w:sz w:val="52"/>
          <w:szCs w:val="52"/>
        </w:rPr>
      </w:pPr>
      <w:r>
        <w:rPr>
          <w:rFonts w:hint="eastAsia" w:ascii="宋体" w:hAnsi="宋体" w:cs="宋体"/>
          <w:bCs w:val="0"/>
          <w:color w:val="auto"/>
          <w:sz w:val="52"/>
          <w:szCs w:val="52"/>
          <w:u w:val="none"/>
          <w:lang w:val="en-US" w:eastAsia="zh-CN"/>
        </w:rPr>
        <w:t>同兴佳苑前期物业管理服务</w:t>
      </w:r>
    </w:p>
    <w:p w14:paraId="1B30CD7F">
      <w:pPr>
        <w:pStyle w:val="32"/>
        <w:rPr>
          <w:rFonts w:hint="eastAsia" w:ascii="宋体" w:hAnsi="宋体" w:eastAsia="宋体" w:cs="宋体"/>
          <w:color w:val="auto"/>
          <w:sz w:val="32"/>
          <w:szCs w:val="32"/>
        </w:rPr>
      </w:pPr>
    </w:p>
    <w:p w14:paraId="0CAD8F0A">
      <w:pPr>
        <w:pStyle w:val="32"/>
        <w:rPr>
          <w:rFonts w:hint="eastAsia" w:ascii="宋体" w:hAnsi="宋体" w:eastAsia="宋体" w:cs="宋体"/>
          <w:color w:val="auto"/>
          <w:sz w:val="32"/>
          <w:szCs w:val="32"/>
        </w:rPr>
      </w:pPr>
    </w:p>
    <w:p w14:paraId="7FE5DCEF">
      <w:pPr>
        <w:pStyle w:val="32"/>
        <w:jc w:val="center"/>
        <w:rPr>
          <w:rFonts w:hint="eastAsia" w:ascii="宋体" w:hAnsi="宋体" w:eastAsia="宋体" w:cs="宋体"/>
          <w:color w:val="auto"/>
          <w:sz w:val="32"/>
          <w:szCs w:val="32"/>
        </w:rPr>
      </w:pPr>
      <w:r>
        <w:rPr>
          <w:rFonts w:hint="eastAsia" w:ascii="宋体" w:hAnsi="宋体" w:eastAsia="宋体" w:cs="宋体"/>
          <w:color w:val="auto"/>
          <w:sz w:val="44"/>
          <w:szCs w:val="44"/>
        </w:rPr>
        <w:t>投  标  文  件</w:t>
      </w:r>
    </w:p>
    <w:p w14:paraId="00C3E714">
      <w:pPr>
        <w:spacing w:line="360" w:lineRule="auto"/>
        <w:rPr>
          <w:rFonts w:hint="eastAsia" w:ascii="宋体" w:hAnsi="宋体" w:eastAsia="宋体" w:cs="宋体"/>
          <w:color w:val="auto"/>
          <w:sz w:val="32"/>
          <w:szCs w:val="32"/>
        </w:rPr>
      </w:pPr>
    </w:p>
    <w:p w14:paraId="6BEE1E27">
      <w:pPr>
        <w:spacing w:line="360" w:lineRule="auto"/>
        <w:rPr>
          <w:rFonts w:hint="eastAsia" w:ascii="宋体" w:hAnsi="宋体" w:eastAsia="宋体" w:cs="宋体"/>
          <w:color w:val="auto"/>
          <w:sz w:val="32"/>
          <w:szCs w:val="32"/>
        </w:rPr>
      </w:pPr>
    </w:p>
    <w:p w14:paraId="4DD3BC46">
      <w:pPr>
        <w:spacing w:line="360" w:lineRule="auto"/>
        <w:rPr>
          <w:rFonts w:hint="eastAsia" w:ascii="宋体" w:hAnsi="宋体" w:eastAsia="宋体" w:cs="宋体"/>
          <w:color w:val="auto"/>
          <w:sz w:val="32"/>
          <w:szCs w:val="32"/>
        </w:rPr>
      </w:pPr>
    </w:p>
    <w:p w14:paraId="4DE8D41C">
      <w:pPr>
        <w:spacing w:line="480" w:lineRule="auto"/>
        <w:jc w:val="center"/>
        <w:rPr>
          <w:rFonts w:hint="eastAsia" w:ascii="宋体" w:hAnsi="宋体" w:eastAsia="宋体" w:cs="宋体"/>
          <w:color w:val="auto"/>
          <w:sz w:val="32"/>
          <w:szCs w:val="32"/>
          <w:u w:val="single"/>
        </w:rPr>
      </w:pPr>
      <w:r>
        <w:rPr>
          <w:rFonts w:hint="eastAsia" w:ascii="宋体" w:hAnsi="宋体" w:eastAsia="宋体" w:cs="宋体"/>
          <w:color w:val="auto"/>
          <w:sz w:val="32"/>
          <w:szCs w:val="32"/>
        </w:rPr>
        <w:t>投  标  人：</w:t>
      </w:r>
      <w:r>
        <w:rPr>
          <w:rFonts w:hint="eastAsia" w:ascii="宋体" w:hAnsi="宋体" w:eastAsia="宋体" w:cs="宋体"/>
          <w:color w:val="auto"/>
          <w:sz w:val="32"/>
          <w:szCs w:val="32"/>
          <w:u w:val="single"/>
        </w:rPr>
        <w:t xml:space="preserve">            （全称）       </w:t>
      </w:r>
      <w:r>
        <w:rPr>
          <w:rFonts w:hint="eastAsia" w:ascii="宋体" w:hAnsi="宋体" w:eastAsia="宋体" w:cs="宋体"/>
          <w:color w:val="auto"/>
          <w:sz w:val="32"/>
          <w:szCs w:val="32"/>
        </w:rPr>
        <w:t>（盖单位公章）</w:t>
      </w:r>
    </w:p>
    <w:p w14:paraId="20BC327F">
      <w:pPr>
        <w:spacing w:line="48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法定代表人或其委托代理人：</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（签字或盖章）</w:t>
      </w:r>
    </w:p>
    <w:p w14:paraId="416BDA97">
      <w:pPr>
        <w:spacing w:line="48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年</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月</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日</w:t>
      </w:r>
    </w:p>
    <w:p w14:paraId="7E7F06CA">
      <w:pPr>
        <w:spacing w:line="480" w:lineRule="auto"/>
        <w:jc w:val="center"/>
        <w:rPr>
          <w:rFonts w:hint="eastAsia" w:ascii="宋体" w:hAnsi="宋体" w:eastAsia="宋体" w:cs="宋体"/>
          <w:color w:val="auto"/>
          <w:sz w:val="32"/>
          <w:szCs w:val="32"/>
        </w:rPr>
      </w:pPr>
    </w:p>
    <w:p w14:paraId="7A25243A">
      <w:pPr>
        <w:spacing w:line="600" w:lineRule="exact"/>
        <w:ind w:left="480"/>
        <w:jc w:val="center"/>
        <w:rPr>
          <w:rFonts w:hint="eastAsia" w:ascii="宋体" w:hAnsi="宋体" w:eastAsia="宋体" w:cs="宋体"/>
          <w:color w:val="auto"/>
          <w:sz w:val="36"/>
          <w:szCs w:val="36"/>
        </w:rPr>
      </w:pPr>
    </w:p>
    <w:p w14:paraId="551D5CF8">
      <w:pPr>
        <w:spacing w:line="600" w:lineRule="exact"/>
        <w:ind w:left="480"/>
        <w:jc w:val="center"/>
        <w:rPr>
          <w:rFonts w:hint="eastAsia" w:ascii="宋体" w:hAnsi="宋体" w:eastAsia="宋体" w:cs="宋体"/>
          <w:color w:val="auto"/>
          <w:sz w:val="36"/>
          <w:szCs w:val="36"/>
        </w:rPr>
      </w:pPr>
    </w:p>
    <w:p w14:paraId="694B431E">
      <w:pPr>
        <w:spacing w:line="600" w:lineRule="exact"/>
        <w:ind w:left="480"/>
        <w:jc w:val="center"/>
        <w:rPr>
          <w:rFonts w:hint="eastAsia" w:ascii="宋体" w:hAnsi="宋体" w:eastAsia="宋体" w:cs="宋体"/>
          <w:color w:val="auto"/>
          <w:sz w:val="36"/>
          <w:szCs w:val="36"/>
        </w:rPr>
      </w:pPr>
    </w:p>
    <w:p w14:paraId="6CDE9556">
      <w:pPr>
        <w:spacing w:line="600" w:lineRule="exact"/>
        <w:ind w:left="480"/>
        <w:jc w:val="center"/>
        <w:rPr>
          <w:rFonts w:hint="eastAsia" w:ascii="宋体" w:hAnsi="宋体" w:eastAsia="宋体" w:cs="宋体"/>
          <w:color w:val="auto"/>
          <w:sz w:val="36"/>
          <w:szCs w:val="36"/>
        </w:rPr>
      </w:pPr>
      <w:r>
        <w:rPr>
          <w:rFonts w:hint="eastAsia" w:ascii="宋体" w:hAnsi="宋体" w:eastAsia="宋体" w:cs="宋体"/>
          <w:color w:val="auto"/>
          <w:sz w:val="36"/>
          <w:szCs w:val="36"/>
        </w:rPr>
        <w:t>目   录</w:t>
      </w:r>
    </w:p>
    <w:p w14:paraId="0D101C9B">
      <w:pPr>
        <w:spacing w:line="600" w:lineRule="exact"/>
        <w:ind w:left="480"/>
        <w:rPr>
          <w:rFonts w:hint="eastAsia" w:ascii="宋体" w:hAnsi="宋体" w:eastAsia="宋体" w:cs="宋体"/>
          <w:color w:val="auto"/>
          <w:sz w:val="24"/>
        </w:rPr>
      </w:pPr>
      <w:r>
        <w:rPr>
          <w:rFonts w:hint="eastAsia" w:ascii="宋体" w:hAnsi="宋体" w:eastAsia="宋体" w:cs="宋体"/>
          <w:color w:val="auto"/>
          <w:sz w:val="24"/>
        </w:rPr>
        <w:t>一、投标函</w:t>
      </w:r>
    </w:p>
    <w:p w14:paraId="18237218">
      <w:pPr>
        <w:spacing w:line="600" w:lineRule="exact"/>
        <w:ind w:left="480"/>
        <w:rPr>
          <w:rFonts w:hint="eastAsia" w:ascii="宋体" w:hAnsi="宋体" w:eastAsia="宋体" w:cs="宋体"/>
          <w:color w:val="auto"/>
          <w:sz w:val="24"/>
        </w:rPr>
      </w:pPr>
      <w:r>
        <w:rPr>
          <w:rFonts w:hint="eastAsia" w:ascii="宋体" w:hAnsi="宋体" w:eastAsia="宋体" w:cs="宋体"/>
          <w:color w:val="auto"/>
          <w:sz w:val="24"/>
        </w:rPr>
        <w:t>二、法定代表身份证明和授权委托书</w:t>
      </w:r>
    </w:p>
    <w:p w14:paraId="50901326">
      <w:pPr>
        <w:spacing w:line="600" w:lineRule="exact"/>
        <w:ind w:left="480"/>
        <w:rPr>
          <w:rFonts w:hint="eastAsia" w:ascii="宋体" w:hAnsi="宋体" w:eastAsia="宋体" w:cs="宋体"/>
          <w:color w:val="auto"/>
          <w:sz w:val="24"/>
        </w:rPr>
      </w:pPr>
      <w:r>
        <w:rPr>
          <w:rFonts w:hint="eastAsia" w:ascii="宋体" w:hAnsi="宋体" w:eastAsia="宋体" w:cs="宋体"/>
          <w:color w:val="auto"/>
          <w:sz w:val="24"/>
        </w:rPr>
        <w:t>三、投标人基本情况说明</w:t>
      </w:r>
    </w:p>
    <w:p w14:paraId="1AC3343E">
      <w:pPr>
        <w:spacing w:line="600" w:lineRule="exact"/>
        <w:ind w:left="480"/>
        <w:rPr>
          <w:rFonts w:hint="eastAsia" w:ascii="宋体" w:hAnsi="宋体" w:eastAsia="宋体" w:cs="宋体"/>
          <w:color w:val="auto"/>
          <w:sz w:val="24"/>
        </w:rPr>
      </w:pPr>
      <w:r>
        <w:rPr>
          <w:rFonts w:hint="eastAsia" w:ascii="宋体" w:hAnsi="宋体" w:eastAsia="宋体" w:cs="宋体"/>
          <w:color w:val="auto"/>
          <w:sz w:val="24"/>
        </w:rPr>
        <w:t>四、投标报价表</w:t>
      </w:r>
    </w:p>
    <w:p w14:paraId="65587CEF">
      <w:pPr>
        <w:spacing w:line="600" w:lineRule="exact"/>
        <w:ind w:left="480"/>
        <w:rPr>
          <w:rFonts w:hint="eastAsia" w:ascii="宋体" w:hAnsi="宋体" w:eastAsia="宋体" w:cs="宋体"/>
          <w:color w:val="auto"/>
          <w:sz w:val="24"/>
        </w:rPr>
      </w:pPr>
      <w:r>
        <w:rPr>
          <w:rFonts w:hint="eastAsia" w:ascii="宋体" w:hAnsi="宋体" w:eastAsia="宋体" w:cs="宋体"/>
          <w:color w:val="auto"/>
          <w:sz w:val="24"/>
        </w:rPr>
        <w:t>五、投标承诺书</w:t>
      </w:r>
    </w:p>
    <w:p w14:paraId="57CDB647">
      <w:pPr>
        <w:spacing w:line="600" w:lineRule="exact"/>
        <w:ind w:left="480"/>
        <w:rPr>
          <w:rFonts w:hint="eastAsia" w:ascii="宋体" w:hAnsi="宋体" w:eastAsia="宋体" w:cs="宋体"/>
          <w:color w:val="auto"/>
          <w:sz w:val="24"/>
        </w:rPr>
      </w:pPr>
      <w:r>
        <w:rPr>
          <w:rFonts w:hint="eastAsia" w:ascii="宋体" w:hAnsi="宋体" w:eastAsia="宋体" w:cs="宋体"/>
          <w:color w:val="auto"/>
          <w:sz w:val="24"/>
        </w:rPr>
        <w:t>六、拟投入本项目的人员情况表</w:t>
      </w:r>
    </w:p>
    <w:p w14:paraId="2958A739">
      <w:pPr>
        <w:spacing w:line="600" w:lineRule="exact"/>
        <w:ind w:left="480"/>
        <w:rPr>
          <w:rFonts w:hint="eastAsia" w:ascii="宋体" w:hAnsi="宋体" w:eastAsia="宋体" w:cs="宋体"/>
          <w:color w:val="auto"/>
          <w:sz w:val="24"/>
        </w:rPr>
      </w:pPr>
      <w:r>
        <w:rPr>
          <w:rFonts w:hint="eastAsia" w:ascii="宋体" w:hAnsi="宋体" w:eastAsia="宋体" w:cs="宋体"/>
          <w:color w:val="auto"/>
          <w:sz w:val="24"/>
          <w:lang w:val="en-US" w:eastAsia="zh-CN"/>
        </w:rPr>
        <w:t>七</w:t>
      </w:r>
      <w:r>
        <w:rPr>
          <w:rFonts w:hint="eastAsia" w:ascii="宋体" w:hAnsi="宋体" w:eastAsia="宋体" w:cs="宋体"/>
          <w:color w:val="auto"/>
          <w:sz w:val="24"/>
        </w:rPr>
        <w:t>、投标人资格证明文件</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资格审查部分</w:t>
      </w:r>
      <w:r>
        <w:rPr>
          <w:rFonts w:hint="eastAsia" w:ascii="宋体" w:hAnsi="宋体" w:eastAsia="宋体" w:cs="宋体"/>
          <w:color w:val="auto"/>
          <w:sz w:val="24"/>
          <w:lang w:eastAsia="zh-CN"/>
        </w:rPr>
        <w:t>）</w:t>
      </w:r>
    </w:p>
    <w:p w14:paraId="65066FE3">
      <w:pPr>
        <w:spacing w:line="600" w:lineRule="exact"/>
        <w:ind w:left="480"/>
        <w:rPr>
          <w:rFonts w:hint="eastAsia" w:ascii="宋体" w:hAnsi="宋体" w:eastAsia="宋体" w:cs="宋体"/>
          <w:color w:val="auto"/>
          <w:sz w:val="24"/>
        </w:rPr>
      </w:pPr>
      <w:r>
        <w:rPr>
          <w:rFonts w:hint="eastAsia" w:ascii="宋体" w:hAnsi="宋体" w:eastAsia="宋体" w:cs="宋体"/>
          <w:color w:val="auto"/>
          <w:sz w:val="24"/>
          <w:lang w:val="en-US" w:eastAsia="zh-CN"/>
        </w:rPr>
        <w:t>八</w:t>
      </w:r>
      <w:r>
        <w:rPr>
          <w:rFonts w:hint="eastAsia" w:ascii="宋体" w:hAnsi="宋体" w:eastAsia="宋体" w:cs="宋体"/>
          <w:color w:val="auto"/>
          <w:sz w:val="24"/>
        </w:rPr>
        <w:t>、投标人需提供的其他资料</w:t>
      </w:r>
    </w:p>
    <w:p w14:paraId="6C2DD5A0">
      <w:pPr>
        <w:spacing w:line="600" w:lineRule="exact"/>
        <w:ind w:left="480"/>
        <w:rPr>
          <w:rFonts w:hint="eastAsia" w:ascii="宋体" w:hAnsi="宋体" w:eastAsia="宋体" w:cs="宋体"/>
          <w:color w:val="auto"/>
          <w:sz w:val="24"/>
        </w:rPr>
      </w:pPr>
      <w:r>
        <w:rPr>
          <w:rFonts w:hint="eastAsia" w:ascii="宋体" w:hAnsi="宋体" w:eastAsia="宋体" w:cs="宋体"/>
          <w:color w:val="auto"/>
          <w:sz w:val="24"/>
          <w:lang w:val="en-US" w:eastAsia="zh-CN"/>
        </w:rPr>
        <w:t>九</w:t>
      </w:r>
      <w:r>
        <w:rPr>
          <w:rFonts w:hint="eastAsia" w:ascii="宋体" w:hAnsi="宋体" w:eastAsia="宋体" w:cs="宋体"/>
          <w:color w:val="auto"/>
          <w:sz w:val="24"/>
        </w:rPr>
        <w:t>、服务方案</w:t>
      </w:r>
    </w:p>
    <w:p w14:paraId="40CC67E3">
      <w:pPr>
        <w:pStyle w:val="3"/>
        <w:numPr>
          <w:ilvl w:val="1"/>
          <w:numId w:val="0"/>
        </w:numPr>
        <w:spacing w:line="600" w:lineRule="exact"/>
        <w:jc w:val="center"/>
        <w:rPr>
          <w:rFonts w:hint="eastAsia" w:ascii="宋体" w:hAnsi="宋体" w:eastAsia="宋体" w:cs="宋体"/>
          <w:color w:val="auto"/>
          <w:w w:val="100"/>
          <w:kern w:val="32"/>
        </w:rPr>
      </w:pPr>
      <w:r>
        <w:rPr>
          <w:rFonts w:hint="eastAsia" w:ascii="宋体" w:hAnsi="宋体" w:eastAsia="宋体" w:cs="宋体"/>
          <w:color w:val="auto"/>
          <w:sz w:val="24"/>
        </w:rPr>
        <w:br w:type="page"/>
      </w:r>
      <w:bookmarkStart w:id="203" w:name="_Toc10840"/>
      <w:bookmarkStart w:id="204" w:name="_Toc12670"/>
      <w:bookmarkStart w:id="205" w:name="_Toc318840511"/>
      <w:bookmarkStart w:id="206" w:name="_Toc8856"/>
      <w:bookmarkStart w:id="207" w:name="_Toc16481"/>
      <w:bookmarkStart w:id="208" w:name="_Toc321052835"/>
      <w:bookmarkStart w:id="209" w:name="_Toc1898"/>
      <w:bookmarkStart w:id="210" w:name="_Toc7394"/>
      <w:bookmarkStart w:id="211" w:name="_Toc227520436"/>
      <w:r>
        <w:rPr>
          <w:rFonts w:hint="eastAsia" w:ascii="宋体" w:hAnsi="宋体" w:eastAsia="宋体" w:cs="宋体"/>
          <w:color w:val="auto"/>
          <w:w w:val="100"/>
          <w:kern w:val="32"/>
        </w:rPr>
        <w:t>一、投标函</w:t>
      </w:r>
      <w:bookmarkEnd w:id="203"/>
      <w:bookmarkEnd w:id="204"/>
      <w:bookmarkEnd w:id="205"/>
      <w:bookmarkEnd w:id="206"/>
      <w:bookmarkEnd w:id="207"/>
      <w:bookmarkEnd w:id="208"/>
      <w:bookmarkEnd w:id="209"/>
      <w:bookmarkEnd w:id="210"/>
    </w:p>
    <w:p w14:paraId="3924820D">
      <w:pPr>
        <w:spacing w:line="400" w:lineRule="exact"/>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（招标人）：</w:t>
      </w:r>
    </w:p>
    <w:p w14:paraId="5233B47F">
      <w:pPr>
        <w:spacing w:line="400" w:lineRule="exact"/>
        <w:ind w:firstLine="480"/>
        <w:rPr>
          <w:rFonts w:hint="eastAsia" w:ascii="宋体" w:hAnsi="宋体" w:eastAsia="宋体" w:cs="宋体"/>
          <w:color w:val="auto"/>
          <w:sz w:val="24"/>
        </w:rPr>
      </w:pPr>
      <w:r>
        <w:rPr>
          <w:rFonts w:hint="eastAsia" w:ascii="宋体" w:hAnsi="宋体" w:eastAsia="宋体" w:cs="宋体"/>
          <w:color w:val="auto"/>
          <w:sz w:val="24"/>
        </w:rPr>
        <w:t>1、根据已收到</w:t>
      </w:r>
      <w:r>
        <w:rPr>
          <w:rFonts w:hint="eastAsia" w:ascii="宋体" w:hAnsi="宋体" w:eastAsia="宋体" w:cs="宋体"/>
          <w:color w:val="auto"/>
          <w:sz w:val="24"/>
          <w:u w:val="single"/>
        </w:rPr>
        <w:t xml:space="preserve">         （项目名称）         </w:t>
      </w:r>
      <w:r>
        <w:rPr>
          <w:rFonts w:hint="eastAsia" w:ascii="宋体" w:hAnsi="宋体" w:eastAsia="宋体" w:cs="宋体"/>
          <w:color w:val="auto"/>
          <w:sz w:val="24"/>
        </w:rPr>
        <w:t xml:space="preserve"> 招标文件，我单位经踏勘项目现场和研究上述招标文件的投标须知、合同条款、相关情况说明和要求及其他有关文件后，我方愿以投标报价表中的价格进行报价。</w:t>
      </w:r>
    </w:p>
    <w:p w14:paraId="4DFE6A31">
      <w:pPr>
        <w:spacing w:line="400" w:lineRule="exact"/>
        <w:ind w:firstLine="480"/>
        <w:rPr>
          <w:rFonts w:hint="eastAsia" w:ascii="宋体" w:hAnsi="宋体" w:eastAsia="宋体" w:cs="宋体"/>
          <w:color w:val="auto"/>
          <w:sz w:val="24"/>
        </w:rPr>
      </w:pPr>
      <w:r>
        <w:rPr>
          <w:rFonts w:hint="eastAsia" w:ascii="宋体" w:hAnsi="宋体" w:eastAsia="宋体" w:cs="宋体"/>
          <w:color w:val="auto"/>
          <w:sz w:val="24"/>
        </w:rPr>
        <w:t>2、我方已详细审核全部招标文件，包括修改文件（如有时）及有关附件，并对上述内容完全响应。</w:t>
      </w:r>
    </w:p>
    <w:p w14:paraId="7DDC159B">
      <w:pPr>
        <w:spacing w:line="400" w:lineRule="exact"/>
        <w:ind w:firstLine="480"/>
        <w:rPr>
          <w:rFonts w:hint="eastAsia" w:ascii="宋体" w:hAnsi="宋体" w:eastAsia="宋体" w:cs="宋体"/>
          <w:color w:val="auto"/>
          <w:sz w:val="24"/>
        </w:rPr>
      </w:pPr>
      <w:r>
        <w:rPr>
          <w:rFonts w:hint="eastAsia" w:ascii="宋体" w:hAnsi="宋体" w:eastAsia="宋体" w:cs="宋体"/>
          <w:color w:val="auto"/>
          <w:sz w:val="24"/>
        </w:rPr>
        <w:t>3、我方同意所提交的投标文件在</w:t>
      </w:r>
      <w:r>
        <w:rPr>
          <w:rFonts w:hint="eastAsia" w:ascii="宋体" w:hAnsi="宋体" w:eastAsia="宋体" w:cs="宋体"/>
          <w:color w:val="auto"/>
          <w:sz w:val="24"/>
          <w:u w:val="single"/>
        </w:rPr>
        <w:t xml:space="preserve"> 90 </w:t>
      </w:r>
      <w:r>
        <w:rPr>
          <w:rFonts w:hint="eastAsia" w:ascii="宋体" w:hAnsi="宋体" w:eastAsia="宋体" w:cs="宋体"/>
          <w:color w:val="auto"/>
          <w:sz w:val="24"/>
        </w:rPr>
        <w:t>天的投标有效期内有效，在此期间内如果中标，我方将受此约束。</w:t>
      </w:r>
    </w:p>
    <w:p w14:paraId="34DEA766">
      <w:pPr>
        <w:spacing w:line="400" w:lineRule="exact"/>
        <w:ind w:firstLine="480"/>
        <w:rPr>
          <w:rFonts w:hint="eastAsia" w:ascii="宋体" w:hAnsi="宋体" w:eastAsia="宋体" w:cs="宋体"/>
          <w:color w:val="auto"/>
          <w:sz w:val="24"/>
        </w:rPr>
      </w:pPr>
      <w:r>
        <w:rPr>
          <w:rFonts w:hint="eastAsia" w:ascii="宋体" w:hAnsi="宋体" w:eastAsia="宋体" w:cs="宋体"/>
          <w:color w:val="auto"/>
          <w:sz w:val="24"/>
        </w:rPr>
        <w:t>4、除非另外达成协议并生效，你方的中标通知书和本投标文件将成为约束双方的合同文件的组成部分。</w:t>
      </w:r>
    </w:p>
    <w:p w14:paraId="1DF62B9C">
      <w:pPr>
        <w:spacing w:line="400" w:lineRule="exact"/>
        <w:ind w:firstLine="480"/>
        <w:rPr>
          <w:rFonts w:hint="eastAsia" w:ascii="宋体" w:hAnsi="宋体" w:eastAsia="宋体" w:cs="宋体"/>
          <w:color w:val="auto"/>
          <w:sz w:val="24"/>
        </w:rPr>
      </w:pPr>
      <w:r>
        <w:rPr>
          <w:rFonts w:hint="eastAsia" w:ascii="宋体" w:hAnsi="宋体" w:eastAsia="宋体" w:cs="宋体"/>
          <w:color w:val="auto"/>
          <w:sz w:val="24"/>
        </w:rPr>
        <w:t>5、我方将与本投标函一起，提交人民币</w:t>
      </w:r>
      <w:bookmarkStart w:id="212" w:name="S_8_009"/>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 xml:space="preserve"> </w:t>
      </w:r>
      <w:bookmarkEnd w:id="212"/>
      <w:r>
        <w:rPr>
          <w:rFonts w:hint="eastAsia" w:ascii="宋体" w:hAnsi="宋体" w:eastAsia="宋体" w:cs="宋体"/>
          <w:color w:val="auto"/>
          <w:sz w:val="24"/>
        </w:rPr>
        <w:t>万元的投标保证金作为投标担保。</w:t>
      </w:r>
    </w:p>
    <w:p w14:paraId="18A91862">
      <w:pPr>
        <w:spacing w:line="400" w:lineRule="exact"/>
        <w:ind w:firstLine="480"/>
        <w:rPr>
          <w:rFonts w:hint="eastAsia" w:ascii="宋体" w:hAnsi="宋体" w:eastAsia="宋体" w:cs="宋体"/>
          <w:color w:val="auto"/>
          <w:sz w:val="24"/>
        </w:rPr>
      </w:pPr>
      <w:r>
        <w:rPr>
          <w:rFonts w:hint="eastAsia" w:ascii="宋体" w:hAnsi="宋体" w:eastAsia="宋体" w:cs="宋体"/>
          <w:color w:val="auto"/>
          <w:sz w:val="24"/>
        </w:rPr>
        <w:t>6、我方同意按照招标文件有关约定，向招标代理机构支付招标代理服务费。</w:t>
      </w:r>
    </w:p>
    <w:p w14:paraId="7BB80447">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7、我方严格按照招标文件的规定报价，如被确定为中标人后，全面履行合同。</w:t>
      </w:r>
    </w:p>
    <w:p w14:paraId="10A5DE9C">
      <w:pPr>
        <w:spacing w:line="400" w:lineRule="exact"/>
        <w:ind w:firstLine="480" w:firstLineChars="200"/>
        <w:rPr>
          <w:rFonts w:hint="eastAsia" w:ascii="宋体" w:hAnsi="宋体" w:eastAsia="宋体" w:cs="宋体"/>
          <w:color w:val="auto"/>
          <w:sz w:val="24"/>
        </w:rPr>
      </w:pPr>
    </w:p>
    <w:p w14:paraId="0176FDE7">
      <w:pPr>
        <w:spacing w:line="400" w:lineRule="exact"/>
        <w:ind w:firstLine="480" w:firstLineChars="200"/>
        <w:rPr>
          <w:rFonts w:hint="eastAsia" w:ascii="宋体" w:hAnsi="宋体" w:eastAsia="宋体" w:cs="宋体"/>
          <w:color w:val="auto"/>
          <w:sz w:val="24"/>
        </w:rPr>
      </w:pPr>
    </w:p>
    <w:p w14:paraId="27336E22">
      <w:pPr>
        <w:spacing w:line="360" w:lineRule="auto"/>
        <w:ind w:firstLine="495"/>
        <w:rPr>
          <w:rFonts w:hint="eastAsia" w:ascii="宋体" w:hAnsi="宋体" w:eastAsia="宋体" w:cs="宋体"/>
          <w:color w:val="auto"/>
          <w:szCs w:val="21"/>
        </w:rPr>
      </w:pPr>
      <w:r>
        <w:rPr>
          <w:rFonts w:hint="eastAsia" w:ascii="宋体" w:hAnsi="宋体" w:eastAsia="宋体" w:cs="宋体"/>
          <w:color w:val="auto"/>
          <w:szCs w:val="21"/>
        </w:rPr>
        <w:t>投 标 人：</w:t>
      </w:r>
      <w:bookmarkStart w:id="213" w:name="S_8_010"/>
      <w:r>
        <w:rPr>
          <w:rFonts w:hint="eastAsia" w:ascii="宋体" w:hAnsi="宋体" w:eastAsia="宋体" w:cs="宋体"/>
          <w:color w:val="auto"/>
          <w:szCs w:val="21"/>
          <w:u w:val="single"/>
        </w:rPr>
        <w:t xml:space="preserve">               （全称）                </w:t>
      </w:r>
      <w:bookmarkEnd w:id="213"/>
      <w:r>
        <w:rPr>
          <w:rFonts w:hint="eastAsia" w:ascii="宋体" w:hAnsi="宋体" w:eastAsia="宋体" w:cs="宋体"/>
          <w:color w:val="auto"/>
          <w:szCs w:val="21"/>
        </w:rPr>
        <w:t>（盖单位公章）</w:t>
      </w:r>
    </w:p>
    <w:p w14:paraId="3E917F26">
      <w:pPr>
        <w:spacing w:line="360" w:lineRule="auto"/>
        <w:ind w:firstLine="495"/>
        <w:rPr>
          <w:rFonts w:hint="eastAsia" w:ascii="宋体" w:hAnsi="宋体" w:eastAsia="宋体" w:cs="宋体"/>
          <w:color w:val="auto"/>
          <w:szCs w:val="21"/>
        </w:rPr>
      </w:pPr>
      <w:r>
        <w:rPr>
          <w:rFonts w:hint="eastAsia" w:ascii="宋体" w:hAnsi="宋体" w:eastAsia="宋体" w:cs="宋体"/>
          <w:color w:val="auto"/>
          <w:szCs w:val="21"/>
        </w:rPr>
        <w:t>单位地址：</w:t>
      </w:r>
      <w:bookmarkStart w:id="214" w:name="S_8_011"/>
      <w:r>
        <w:rPr>
          <w:rFonts w:hint="eastAsia" w:ascii="宋体" w:hAnsi="宋体" w:eastAsia="宋体" w:cs="宋体"/>
          <w:color w:val="auto"/>
          <w:szCs w:val="21"/>
          <w:u w:val="single"/>
        </w:rPr>
        <w:t xml:space="preserve">                                        </w:t>
      </w:r>
      <w:bookmarkEnd w:id="214"/>
    </w:p>
    <w:p w14:paraId="45E0A204">
      <w:pPr>
        <w:spacing w:line="360" w:lineRule="auto"/>
        <w:ind w:firstLine="495"/>
        <w:rPr>
          <w:rFonts w:hint="eastAsia" w:ascii="宋体" w:hAnsi="宋体" w:eastAsia="宋体" w:cs="宋体"/>
          <w:color w:val="auto"/>
          <w:szCs w:val="21"/>
        </w:rPr>
      </w:pPr>
      <w:r>
        <w:rPr>
          <w:rFonts w:hint="eastAsia" w:ascii="宋体" w:hAnsi="宋体" w:eastAsia="宋体" w:cs="宋体"/>
          <w:color w:val="auto"/>
          <w:szCs w:val="21"/>
        </w:rPr>
        <w:t>法定代表人或其委托代理人：</w:t>
      </w:r>
      <w:bookmarkStart w:id="215" w:name="S_8_012"/>
      <w:r>
        <w:rPr>
          <w:rFonts w:hint="eastAsia" w:ascii="宋体" w:hAnsi="宋体" w:eastAsia="宋体" w:cs="宋体"/>
          <w:color w:val="auto"/>
          <w:szCs w:val="21"/>
          <w:u w:val="single"/>
        </w:rPr>
        <w:t xml:space="preserve">                </w:t>
      </w:r>
      <w:bookmarkEnd w:id="215"/>
      <w:r>
        <w:rPr>
          <w:rFonts w:hint="eastAsia" w:ascii="宋体" w:hAnsi="宋体" w:eastAsia="宋体" w:cs="宋体"/>
          <w:color w:val="auto"/>
          <w:szCs w:val="21"/>
        </w:rPr>
        <w:t>（签字或盖章）</w:t>
      </w:r>
    </w:p>
    <w:p w14:paraId="48CAD7D3">
      <w:pPr>
        <w:spacing w:line="360" w:lineRule="auto"/>
        <w:ind w:firstLine="495"/>
        <w:rPr>
          <w:rFonts w:hint="eastAsia" w:ascii="宋体" w:hAnsi="宋体" w:eastAsia="宋体" w:cs="宋体"/>
          <w:color w:val="auto"/>
          <w:szCs w:val="21"/>
        </w:rPr>
      </w:pPr>
      <w:r>
        <w:rPr>
          <w:rFonts w:hint="eastAsia" w:ascii="宋体" w:hAnsi="宋体" w:eastAsia="宋体" w:cs="宋体"/>
          <w:color w:val="auto"/>
          <w:szCs w:val="21"/>
        </w:rPr>
        <w:t>邮政编码：</w:t>
      </w:r>
      <w:bookmarkStart w:id="216" w:name="S_8_013"/>
      <w:r>
        <w:rPr>
          <w:rFonts w:hint="eastAsia" w:ascii="宋体" w:hAnsi="宋体" w:eastAsia="宋体" w:cs="宋体"/>
          <w:color w:val="auto"/>
          <w:szCs w:val="21"/>
          <w:u w:val="single"/>
        </w:rPr>
        <w:t xml:space="preserve">                </w:t>
      </w:r>
      <w:bookmarkEnd w:id="216"/>
      <w:r>
        <w:rPr>
          <w:rFonts w:hint="eastAsia" w:ascii="宋体" w:hAnsi="宋体" w:eastAsia="宋体" w:cs="宋体"/>
          <w:color w:val="auto"/>
          <w:szCs w:val="21"/>
        </w:rPr>
        <w:t>电话：</w:t>
      </w:r>
      <w:bookmarkStart w:id="217" w:name="S_8_014"/>
      <w:r>
        <w:rPr>
          <w:rFonts w:hint="eastAsia" w:ascii="宋体" w:hAnsi="宋体" w:eastAsia="宋体" w:cs="宋体"/>
          <w:color w:val="auto"/>
          <w:szCs w:val="21"/>
          <w:u w:val="single"/>
        </w:rPr>
        <w:t xml:space="preserve">              </w:t>
      </w:r>
      <w:bookmarkEnd w:id="217"/>
      <w:r>
        <w:rPr>
          <w:rFonts w:hint="eastAsia" w:ascii="宋体" w:hAnsi="宋体" w:eastAsia="宋体" w:cs="宋体"/>
          <w:color w:val="auto"/>
          <w:szCs w:val="21"/>
        </w:rPr>
        <w:t>传真：</w:t>
      </w:r>
      <w:bookmarkStart w:id="218" w:name="S_8_015"/>
      <w:r>
        <w:rPr>
          <w:rFonts w:hint="eastAsia" w:ascii="宋体" w:hAnsi="宋体" w:eastAsia="宋体" w:cs="宋体"/>
          <w:color w:val="auto"/>
          <w:szCs w:val="21"/>
          <w:u w:val="single"/>
        </w:rPr>
        <w:t xml:space="preserve">             </w:t>
      </w:r>
      <w:bookmarkEnd w:id="218"/>
    </w:p>
    <w:p w14:paraId="383B3A8D">
      <w:pPr>
        <w:spacing w:line="360" w:lineRule="auto"/>
        <w:ind w:firstLine="495"/>
        <w:rPr>
          <w:rFonts w:hint="eastAsia" w:ascii="宋体" w:hAnsi="宋体" w:eastAsia="宋体" w:cs="宋体"/>
          <w:color w:val="auto"/>
          <w:szCs w:val="21"/>
        </w:rPr>
      </w:pPr>
      <w:r>
        <w:rPr>
          <w:rFonts w:hint="eastAsia" w:ascii="宋体" w:hAnsi="宋体" w:eastAsia="宋体" w:cs="宋体"/>
          <w:color w:val="auto"/>
          <w:szCs w:val="21"/>
        </w:rPr>
        <w:t>开户银行名称：</w:t>
      </w:r>
      <w:bookmarkStart w:id="219" w:name="S_8_016"/>
      <w:r>
        <w:rPr>
          <w:rFonts w:hint="eastAsia" w:ascii="宋体" w:hAnsi="宋体" w:eastAsia="宋体" w:cs="宋体"/>
          <w:color w:val="auto"/>
          <w:szCs w:val="21"/>
          <w:u w:val="single"/>
        </w:rPr>
        <w:t xml:space="preserve">                                    </w:t>
      </w:r>
      <w:bookmarkEnd w:id="219"/>
    </w:p>
    <w:p w14:paraId="7E1E7617">
      <w:pPr>
        <w:spacing w:line="360" w:lineRule="auto"/>
        <w:ind w:firstLine="495"/>
        <w:rPr>
          <w:rFonts w:hint="eastAsia" w:ascii="宋体" w:hAnsi="宋体" w:eastAsia="宋体" w:cs="宋体"/>
          <w:color w:val="auto"/>
          <w:szCs w:val="21"/>
        </w:rPr>
      </w:pPr>
      <w:r>
        <w:rPr>
          <w:rFonts w:hint="eastAsia" w:ascii="宋体" w:hAnsi="宋体" w:eastAsia="宋体" w:cs="宋体"/>
          <w:color w:val="auto"/>
          <w:szCs w:val="21"/>
        </w:rPr>
        <w:t>开户银行账号：</w:t>
      </w:r>
      <w:bookmarkStart w:id="220" w:name="S_8_017"/>
      <w:r>
        <w:rPr>
          <w:rFonts w:hint="eastAsia" w:ascii="宋体" w:hAnsi="宋体" w:eastAsia="宋体" w:cs="宋体"/>
          <w:color w:val="auto"/>
          <w:szCs w:val="21"/>
          <w:u w:val="single"/>
        </w:rPr>
        <w:t xml:space="preserve">                                    </w:t>
      </w:r>
      <w:bookmarkEnd w:id="220"/>
    </w:p>
    <w:p w14:paraId="36BAFDC6">
      <w:pPr>
        <w:spacing w:line="360" w:lineRule="auto"/>
        <w:ind w:firstLine="495"/>
        <w:rPr>
          <w:rFonts w:hint="eastAsia" w:ascii="宋体" w:hAnsi="宋体" w:eastAsia="宋体" w:cs="宋体"/>
          <w:b/>
          <w:color w:val="auto"/>
          <w:szCs w:val="21"/>
        </w:rPr>
      </w:pPr>
      <w:r>
        <w:rPr>
          <w:rFonts w:hint="eastAsia" w:ascii="宋体" w:hAnsi="宋体" w:eastAsia="宋体" w:cs="宋体"/>
          <w:color w:val="auto"/>
          <w:szCs w:val="21"/>
        </w:rPr>
        <w:t>开户银行地址：</w:t>
      </w:r>
      <w:bookmarkStart w:id="221" w:name="S_8_018"/>
      <w:r>
        <w:rPr>
          <w:rFonts w:hint="eastAsia" w:ascii="宋体" w:hAnsi="宋体" w:eastAsia="宋体" w:cs="宋体"/>
          <w:color w:val="auto"/>
          <w:szCs w:val="21"/>
          <w:u w:val="single"/>
        </w:rPr>
        <w:t xml:space="preserve">                                    </w:t>
      </w:r>
      <w:bookmarkEnd w:id="221"/>
    </w:p>
    <w:p w14:paraId="4912C34D">
      <w:pPr>
        <w:spacing w:line="360" w:lineRule="auto"/>
        <w:ind w:firstLine="495"/>
        <w:rPr>
          <w:rFonts w:hint="eastAsia" w:ascii="宋体" w:hAnsi="宋体" w:eastAsia="宋体" w:cs="宋体"/>
          <w:color w:val="auto"/>
          <w:szCs w:val="21"/>
          <w:u w:val="single"/>
        </w:rPr>
      </w:pPr>
      <w:r>
        <w:rPr>
          <w:rFonts w:hint="eastAsia" w:ascii="宋体" w:hAnsi="宋体" w:eastAsia="宋体" w:cs="宋体"/>
          <w:color w:val="auto"/>
          <w:szCs w:val="21"/>
        </w:rPr>
        <w:t>开户银行电话：</w:t>
      </w:r>
      <w:bookmarkStart w:id="222" w:name="S_8_019"/>
      <w:r>
        <w:rPr>
          <w:rFonts w:hint="eastAsia" w:ascii="宋体" w:hAnsi="宋体" w:eastAsia="宋体" w:cs="宋体"/>
          <w:color w:val="auto"/>
          <w:szCs w:val="21"/>
          <w:u w:val="single"/>
        </w:rPr>
        <w:t xml:space="preserve">                                    </w:t>
      </w:r>
      <w:bookmarkEnd w:id="222"/>
    </w:p>
    <w:p w14:paraId="683ED570">
      <w:pPr>
        <w:spacing w:line="360" w:lineRule="auto"/>
        <w:rPr>
          <w:rFonts w:hint="eastAsia" w:ascii="宋体" w:hAnsi="宋体" w:eastAsia="宋体" w:cs="宋体"/>
          <w:color w:val="auto"/>
          <w:szCs w:val="21"/>
          <w:u w:val="single"/>
        </w:rPr>
      </w:pPr>
    </w:p>
    <w:p w14:paraId="00EB34C7">
      <w:pPr>
        <w:wordWrap w:val="0"/>
        <w:spacing w:line="360" w:lineRule="auto"/>
        <w:jc w:val="right"/>
        <w:rPr>
          <w:rFonts w:hint="eastAsia" w:ascii="宋体" w:hAnsi="宋体" w:eastAsia="宋体" w:cs="宋体"/>
          <w:color w:val="auto"/>
          <w:szCs w:val="21"/>
        </w:rPr>
      </w:pPr>
      <w:bookmarkStart w:id="223" w:name="S_8_020"/>
      <w:r>
        <w:rPr>
          <w:rFonts w:hint="eastAsia" w:ascii="宋体" w:hAnsi="宋体" w:eastAsia="宋体" w:cs="宋体"/>
          <w:color w:val="auto"/>
          <w:szCs w:val="21"/>
          <w:u w:val="single"/>
        </w:rPr>
        <w:t xml:space="preserve">         </w:t>
      </w:r>
      <w:bookmarkEnd w:id="223"/>
      <w:r>
        <w:rPr>
          <w:rFonts w:hint="eastAsia" w:ascii="宋体" w:hAnsi="宋体" w:eastAsia="宋体" w:cs="宋体"/>
          <w:color w:val="auto"/>
          <w:szCs w:val="21"/>
        </w:rPr>
        <w:t>年</w:t>
      </w:r>
      <w:bookmarkStart w:id="224" w:name="S_8_021"/>
      <w:r>
        <w:rPr>
          <w:rFonts w:hint="eastAsia" w:ascii="宋体" w:hAnsi="宋体" w:eastAsia="宋体" w:cs="宋体"/>
          <w:color w:val="auto"/>
          <w:szCs w:val="21"/>
          <w:u w:val="single"/>
        </w:rPr>
        <w:t xml:space="preserve">       </w:t>
      </w:r>
      <w:bookmarkEnd w:id="224"/>
      <w:r>
        <w:rPr>
          <w:rFonts w:hint="eastAsia" w:ascii="宋体" w:hAnsi="宋体" w:eastAsia="宋体" w:cs="宋体"/>
          <w:color w:val="auto"/>
          <w:szCs w:val="21"/>
        </w:rPr>
        <w:t>月</w:t>
      </w:r>
      <w:bookmarkStart w:id="225" w:name="S_8_022"/>
      <w:r>
        <w:rPr>
          <w:rFonts w:hint="eastAsia" w:ascii="宋体" w:hAnsi="宋体" w:eastAsia="宋体" w:cs="宋体"/>
          <w:color w:val="auto"/>
          <w:szCs w:val="21"/>
          <w:u w:val="single"/>
        </w:rPr>
        <w:t xml:space="preserve">        </w:t>
      </w:r>
      <w:bookmarkEnd w:id="225"/>
      <w:r>
        <w:rPr>
          <w:rFonts w:hint="eastAsia" w:ascii="宋体" w:hAnsi="宋体" w:eastAsia="宋体" w:cs="宋体"/>
          <w:color w:val="auto"/>
          <w:szCs w:val="21"/>
        </w:rPr>
        <w:t>日</w:t>
      </w:r>
    </w:p>
    <w:p w14:paraId="108E29B2">
      <w:pPr>
        <w:spacing w:line="400" w:lineRule="exact"/>
        <w:ind w:left="4200" w:leftChars="2000" w:firstLine="1785" w:firstLineChars="850"/>
        <w:rPr>
          <w:rFonts w:hint="eastAsia" w:ascii="宋体" w:hAnsi="宋体" w:eastAsia="宋体" w:cs="宋体"/>
          <w:color w:val="auto"/>
          <w:sz w:val="24"/>
        </w:rPr>
      </w:pPr>
      <w:r>
        <w:rPr>
          <w:rFonts w:hint="eastAsia" w:ascii="宋体" w:hAnsi="宋体" w:eastAsia="宋体" w:cs="宋体"/>
          <w:color w:val="auto"/>
        </w:rPr>
        <w:br w:type="page"/>
      </w:r>
      <w:bookmarkEnd w:id="211"/>
    </w:p>
    <w:p w14:paraId="599E7921">
      <w:pPr>
        <w:pStyle w:val="3"/>
        <w:numPr>
          <w:ilvl w:val="1"/>
          <w:numId w:val="0"/>
        </w:numPr>
        <w:spacing w:line="600" w:lineRule="exact"/>
        <w:jc w:val="center"/>
        <w:rPr>
          <w:rFonts w:hint="eastAsia" w:ascii="宋体" w:hAnsi="宋体" w:eastAsia="宋体" w:cs="宋体"/>
          <w:color w:val="auto"/>
          <w:w w:val="100"/>
          <w:kern w:val="32"/>
        </w:rPr>
      </w:pPr>
      <w:bookmarkStart w:id="226" w:name="_Toc32589"/>
      <w:bookmarkStart w:id="227" w:name="_Toc321052836"/>
      <w:bookmarkStart w:id="228" w:name="_Toc11247"/>
      <w:bookmarkStart w:id="229" w:name="_Toc19480"/>
      <w:bookmarkStart w:id="230" w:name="_Toc14866"/>
      <w:bookmarkStart w:id="231" w:name="_Toc24275"/>
      <w:bookmarkStart w:id="232" w:name="_Toc11063"/>
      <w:bookmarkStart w:id="233" w:name="_Toc318840512"/>
      <w:r>
        <w:rPr>
          <w:rFonts w:hint="eastAsia" w:ascii="宋体" w:hAnsi="宋体" w:eastAsia="宋体" w:cs="宋体"/>
          <w:color w:val="auto"/>
          <w:w w:val="100"/>
          <w:kern w:val="32"/>
        </w:rPr>
        <w:t>二、法定代表人身份证明和授权委托书</w:t>
      </w:r>
      <w:bookmarkEnd w:id="226"/>
      <w:bookmarkEnd w:id="227"/>
      <w:bookmarkEnd w:id="228"/>
      <w:bookmarkEnd w:id="229"/>
      <w:bookmarkEnd w:id="230"/>
      <w:bookmarkEnd w:id="231"/>
      <w:bookmarkEnd w:id="232"/>
    </w:p>
    <w:p w14:paraId="6EFF83C9">
      <w:pPr>
        <w:tabs>
          <w:tab w:val="left" w:pos="7920"/>
        </w:tabs>
        <w:spacing w:line="360" w:lineRule="auto"/>
        <w:jc w:val="center"/>
        <w:rPr>
          <w:rFonts w:hint="eastAsia" w:ascii="宋体" w:hAnsi="宋体" w:eastAsia="宋体" w:cs="宋体"/>
          <w:b/>
          <w:bCs/>
          <w:color w:val="auto"/>
          <w:sz w:val="40"/>
          <w:szCs w:val="40"/>
        </w:rPr>
      </w:pPr>
      <w:r>
        <w:rPr>
          <w:rFonts w:hint="eastAsia" w:ascii="宋体" w:hAnsi="宋体" w:eastAsia="宋体" w:cs="宋体"/>
          <w:b/>
          <w:bCs/>
          <w:color w:val="auto"/>
          <w:w w:val="100"/>
          <w:kern w:val="32"/>
          <w:sz w:val="32"/>
          <w:szCs w:val="40"/>
        </w:rPr>
        <w:t>法定代表人身份证明</w:t>
      </w:r>
    </w:p>
    <w:p w14:paraId="21F7918C">
      <w:pPr>
        <w:spacing w:line="480" w:lineRule="auto"/>
        <w:rPr>
          <w:rFonts w:hint="eastAsia" w:ascii="宋体" w:hAnsi="宋体" w:eastAsia="宋体" w:cs="宋体"/>
          <w:color w:val="auto"/>
          <w:sz w:val="24"/>
          <w:u w:val="single"/>
        </w:rPr>
      </w:pPr>
      <w:r>
        <w:rPr>
          <w:rFonts w:hint="eastAsia" w:ascii="宋体" w:hAnsi="宋体" w:eastAsia="宋体" w:cs="宋体"/>
          <w:color w:val="auto"/>
          <w:sz w:val="24"/>
        </w:rPr>
        <w:t>投标人名称：</w:t>
      </w:r>
      <w:r>
        <w:rPr>
          <w:rFonts w:hint="eastAsia" w:ascii="宋体" w:hAnsi="宋体" w:eastAsia="宋体" w:cs="宋体"/>
          <w:color w:val="auto"/>
          <w:sz w:val="24"/>
          <w:u w:val="single"/>
        </w:rPr>
        <w:t xml:space="preserve">                             </w:t>
      </w:r>
    </w:p>
    <w:p w14:paraId="359126DF">
      <w:pPr>
        <w:spacing w:line="480" w:lineRule="auto"/>
        <w:rPr>
          <w:rFonts w:hint="eastAsia" w:ascii="宋体" w:hAnsi="宋体" w:eastAsia="宋体" w:cs="宋体"/>
          <w:color w:val="auto"/>
          <w:sz w:val="24"/>
        </w:rPr>
      </w:pPr>
      <w:r>
        <w:rPr>
          <w:rFonts w:hint="eastAsia" w:ascii="宋体" w:hAnsi="宋体" w:eastAsia="宋体" w:cs="宋体"/>
          <w:color w:val="auto"/>
          <w:sz w:val="24"/>
        </w:rPr>
        <w:t>单位性质：</w:t>
      </w:r>
      <w:r>
        <w:rPr>
          <w:rFonts w:hint="eastAsia" w:ascii="宋体" w:hAnsi="宋体" w:eastAsia="宋体" w:cs="宋体"/>
          <w:color w:val="auto"/>
          <w:sz w:val="24"/>
          <w:u w:val="single"/>
        </w:rPr>
        <w:t xml:space="preserve">                               </w:t>
      </w:r>
    </w:p>
    <w:p w14:paraId="6DBC6036">
      <w:pPr>
        <w:spacing w:line="480" w:lineRule="auto"/>
        <w:rPr>
          <w:rFonts w:hint="eastAsia" w:ascii="宋体" w:hAnsi="宋体" w:eastAsia="宋体" w:cs="宋体"/>
          <w:color w:val="auto"/>
          <w:sz w:val="24"/>
        </w:rPr>
      </w:pPr>
      <w:r>
        <w:rPr>
          <w:rFonts w:hint="eastAsia" w:ascii="宋体" w:hAnsi="宋体" w:eastAsia="宋体" w:cs="宋体"/>
          <w:color w:val="auto"/>
          <w:sz w:val="24"/>
        </w:rPr>
        <w:t>地址：</w:t>
      </w:r>
      <w:r>
        <w:rPr>
          <w:rFonts w:hint="eastAsia" w:ascii="宋体" w:hAnsi="宋体" w:eastAsia="宋体" w:cs="宋体"/>
          <w:color w:val="auto"/>
          <w:sz w:val="24"/>
          <w:u w:val="single"/>
        </w:rPr>
        <w:t xml:space="preserve">                                   </w:t>
      </w:r>
    </w:p>
    <w:p w14:paraId="2631FF09">
      <w:pPr>
        <w:spacing w:line="480" w:lineRule="auto"/>
        <w:rPr>
          <w:rFonts w:hint="eastAsia" w:ascii="宋体" w:hAnsi="宋体" w:eastAsia="宋体" w:cs="宋体"/>
          <w:color w:val="auto"/>
          <w:sz w:val="24"/>
        </w:rPr>
      </w:pPr>
      <w:r>
        <w:rPr>
          <w:rFonts w:hint="eastAsia" w:ascii="宋体" w:hAnsi="宋体" w:eastAsia="宋体" w:cs="宋体"/>
          <w:color w:val="auto"/>
          <w:sz w:val="24"/>
        </w:rPr>
        <w:t>成立时间：</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B293ADD">
      <w:pPr>
        <w:spacing w:line="480" w:lineRule="auto"/>
        <w:rPr>
          <w:rFonts w:hint="eastAsia" w:ascii="宋体" w:hAnsi="宋体" w:eastAsia="宋体" w:cs="宋体"/>
          <w:color w:val="auto"/>
          <w:sz w:val="24"/>
        </w:rPr>
      </w:pPr>
      <w:r>
        <w:rPr>
          <w:rFonts w:hint="eastAsia" w:ascii="宋体" w:hAnsi="宋体" w:eastAsia="宋体" w:cs="宋体"/>
          <w:color w:val="auto"/>
          <w:sz w:val="24"/>
        </w:rPr>
        <w:t>经营期限：</w:t>
      </w:r>
      <w:r>
        <w:rPr>
          <w:rFonts w:hint="eastAsia" w:ascii="宋体" w:hAnsi="宋体" w:eastAsia="宋体" w:cs="宋体"/>
          <w:color w:val="auto"/>
          <w:sz w:val="24"/>
          <w:u w:val="single"/>
        </w:rPr>
        <w:t xml:space="preserve">                               </w:t>
      </w:r>
    </w:p>
    <w:p w14:paraId="2BA6DF1F">
      <w:pPr>
        <w:spacing w:line="480" w:lineRule="auto"/>
        <w:rPr>
          <w:rFonts w:hint="eastAsia" w:ascii="宋体" w:hAnsi="宋体" w:eastAsia="宋体" w:cs="宋体"/>
          <w:color w:val="auto"/>
          <w:sz w:val="24"/>
        </w:rPr>
      </w:pPr>
      <w:r>
        <w:rPr>
          <w:rFonts w:hint="eastAsia" w:ascii="宋体" w:hAnsi="宋体" w:eastAsia="宋体" w:cs="宋体"/>
          <w:color w:val="auto"/>
          <w:sz w:val="24"/>
        </w:rPr>
        <w:t>姓名：</w:t>
      </w:r>
      <w:r>
        <w:rPr>
          <w:rFonts w:hint="eastAsia" w:ascii="宋体" w:hAnsi="宋体" w:eastAsia="宋体" w:cs="宋体"/>
          <w:color w:val="auto"/>
          <w:sz w:val="24"/>
          <w:u w:val="single"/>
        </w:rPr>
        <w:t xml:space="preserve">           </w:t>
      </w:r>
      <w:r>
        <w:rPr>
          <w:rFonts w:hint="eastAsia" w:ascii="宋体" w:hAnsi="宋体" w:eastAsia="宋体" w:cs="宋体"/>
          <w:color w:val="auto"/>
          <w:sz w:val="24"/>
        </w:rPr>
        <w:t>性别：</w:t>
      </w:r>
      <w:r>
        <w:rPr>
          <w:rFonts w:hint="eastAsia" w:ascii="宋体" w:hAnsi="宋体" w:eastAsia="宋体" w:cs="宋体"/>
          <w:color w:val="auto"/>
          <w:sz w:val="24"/>
          <w:u w:val="single"/>
        </w:rPr>
        <w:t xml:space="preserve">           </w:t>
      </w:r>
      <w:r>
        <w:rPr>
          <w:rFonts w:hint="eastAsia" w:ascii="宋体" w:hAnsi="宋体" w:eastAsia="宋体" w:cs="宋体"/>
          <w:color w:val="auto"/>
          <w:sz w:val="24"/>
        </w:rPr>
        <w:t>年龄：</w:t>
      </w:r>
      <w:r>
        <w:rPr>
          <w:rFonts w:hint="eastAsia" w:ascii="宋体" w:hAnsi="宋体" w:eastAsia="宋体" w:cs="宋体"/>
          <w:color w:val="auto"/>
          <w:sz w:val="24"/>
          <w:u w:val="single"/>
        </w:rPr>
        <w:t xml:space="preserve">           </w:t>
      </w:r>
      <w:r>
        <w:rPr>
          <w:rFonts w:hint="eastAsia" w:ascii="宋体" w:hAnsi="宋体" w:eastAsia="宋体" w:cs="宋体"/>
          <w:color w:val="auto"/>
          <w:sz w:val="24"/>
        </w:rPr>
        <w:t>职务：</w:t>
      </w:r>
      <w:r>
        <w:rPr>
          <w:rFonts w:hint="eastAsia" w:ascii="宋体" w:hAnsi="宋体" w:eastAsia="宋体" w:cs="宋体"/>
          <w:color w:val="auto"/>
          <w:sz w:val="24"/>
          <w:u w:val="single"/>
        </w:rPr>
        <w:t xml:space="preserve">           </w:t>
      </w:r>
    </w:p>
    <w:p w14:paraId="16CD62BD">
      <w:pPr>
        <w:spacing w:line="480" w:lineRule="auto"/>
        <w:rPr>
          <w:rFonts w:hint="eastAsia" w:ascii="宋体" w:hAnsi="宋体" w:eastAsia="宋体" w:cs="宋体"/>
          <w:color w:val="auto"/>
          <w:sz w:val="24"/>
        </w:rPr>
      </w:pPr>
      <w:r>
        <w:rPr>
          <w:rFonts w:hint="eastAsia" w:ascii="宋体" w:hAnsi="宋体" w:eastAsia="宋体" w:cs="宋体"/>
          <w:color w:val="auto"/>
          <w:sz w:val="24"/>
        </w:rPr>
        <w:t>系</w:t>
      </w:r>
      <w:r>
        <w:rPr>
          <w:rFonts w:hint="eastAsia" w:ascii="宋体" w:hAnsi="宋体" w:eastAsia="宋体" w:cs="宋体"/>
          <w:color w:val="auto"/>
          <w:sz w:val="24"/>
          <w:u w:val="single"/>
        </w:rPr>
        <w:t xml:space="preserve">              </w:t>
      </w:r>
      <w:r>
        <w:rPr>
          <w:rFonts w:hint="eastAsia" w:ascii="宋体" w:hAnsi="宋体" w:eastAsia="宋体" w:cs="宋体"/>
          <w:color w:val="auto"/>
          <w:sz w:val="24"/>
        </w:rPr>
        <w:t>（投标人名称）的法定代表人。</w:t>
      </w:r>
    </w:p>
    <w:p w14:paraId="544347AF">
      <w:pPr>
        <w:spacing w:line="480" w:lineRule="auto"/>
        <w:ind w:firstLine="480" w:firstLineChars="200"/>
        <w:rPr>
          <w:rFonts w:hint="eastAsia" w:ascii="宋体" w:hAnsi="宋体" w:eastAsia="宋体" w:cs="宋体"/>
          <w:color w:val="auto"/>
          <w:sz w:val="24"/>
        </w:rPr>
      </w:pPr>
    </w:p>
    <w:p w14:paraId="533CF253">
      <w:pPr>
        <w:spacing w:line="48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特此证明。</w:t>
      </w:r>
    </w:p>
    <w:p w14:paraId="39347A6C">
      <w:pPr>
        <w:spacing w:line="360" w:lineRule="auto"/>
        <w:rPr>
          <w:rFonts w:hint="eastAsia" w:ascii="宋体" w:hAnsi="宋体" w:eastAsia="宋体" w:cs="宋体"/>
          <w:color w:val="auto"/>
          <w:sz w:val="24"/>
        </w:rPr>
      </w:pPr>
    </w:p>
    <w:p w14:paraId="66704D00">
      <w:pPr>
        <w:spacing w:line="360" w:lineRule="auto"/>
        <w:rPr>
          <w:rFonts w:hint="eastAsia" w:ascii="宋体" w:hAnsi="宋体" w:eastAsia="宋体" w:cs="宋体"/>
          <w:color w:val="auto"/>
          <w:sz w:val="24"/>
        </w:rPr>
      </w:pPr>
    </w:p>
    <w:p w14:paraId="408576AB">
      <w:pPr>
        <w:spacing w:line="360" w:lineRule="auto"/>
        <w:jc w:val="right"/>
        <w:rPr>
          <w:rFonts w:hint="eastAsia" w:ascii="宋体" w:hAnsi="宋体" w:eastAsia="宋体" w:cs="宋体"/>
          <w:color w:val="auto"/>
          <w:sz w:val="24"/>
        </w:rPr>
      </w:pPr>
      <w:r>
        <w:rPr>
          <w:rFonts w:hint="eastAsia" w:ascii="宋体" w:hAnsi="宋体" w:eastAsia="宋体" w:cs="宋体"/>
          <w:color w:val="auto"/>
          <w:sz w:val="24"/>
        </w:rPr>
        <w:t>投标人：</w:t>
      </w:r>
      <w:r>
        <w:rPr>
          <w:rFonts w:hint="eastAsia" w:ascii="宋体" w:hAnsi="宋体" w:eastAsia="宋体" w:cs="宋体"/>
          <w:color w:val="auto"/>
          <w:sz w:val="24"/>
          <w:u w:val="single"/>
        </w:rPr>
        <w:t xml:space="preserve">     （全称）      </w:t>
      </w:r>
      <w:r>
        <w:rPr>
          <w:rFonts w:hint="eastAsia" w:ascii="宋体" w:hAnsi="宋体" w:eastAsia="宋体" w:cs="宋体"/>
          <w:color w:val="auto"/>
          <w:sz w:val="24"/>
        </w:rPr>
        <w:t>（盖单位公章）</w:t>
      </w:r>
    </w:p>
    <w:p w14:paraId="5D2C95DC">
      <w:pPr>
        <w:wordWrap w:val="0"/>
        <w:spacing w:line="360" w:lineRule="auto"/>
        <w:jc w:val="right"/>
        <w:rPr>
          <w:rFonts w:hint="eastAsia" w:ascii="宋体" w:hAnsi="宋体" w:eastAsia="宋体" w:cs="宋体"/>
          <w:color w:val="auto"/>
          <w:sz w:val="24"/>
          <w:u w:val="single"/>
        </w:rPr>
      </w:pPr>
    </w:p>
    <w:p w14:paraId="4A497DAD">
      <w:pPr>
        <w:spacing w:line="360" w:lineRule="auto"/>
        <w:jc w:val="right"/>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7DC1DF32">
      <w:pPr>
        <w:spacing w:line="440" w:lineRule="exact"/>
        <w:rPr>
          <w:rFonts w:hint="eastAsia" w:ascii="宋体" w:hAnsi="宋体" w:eastAsia="宋体" w:cs="宋体"/>
          <w:color w:val="auto"/>
          <w:sz w:val="24"/>
        </w:rPr>
      </w:pPr>
      <w:r>
        <w:rPr>
          <w:rFonts w:hint="eastAsia" w:ascii="宋体" w:hAnsi="宋体" w:eastAsia="宋体" w:cs="宋体"/>
          <w:b/>
          <w:color w:val="auto"/>
          <w:sz w:val="24"/>
        </w:rPr>
        <w:t>附：法定代表人身份证复印件（此附件为法定代表人身份证明的必要组成部分，无此附件的法定代表人身份证明无效）</w:t>
      </w:r>
    </w:p>
    <w:p w14:paraId="043462A4">
      <w:pPr>
        <w:spacing w:line="360" w:lineRule="auto"/>
        <w:jc w:val="right"/>
        <w:rPr>
          <w:rFonts w:hint="eastAsia" w:ascii="宋体" w:hAnsi="宋体" w:eastAsia="宋体" w:cs="宋体"/>
          <w:color w:val="auto"/>
        </w:rPr>
      </w:pPr>
    </w:p>
    <w:p w14:paraId="7450ADDF">
      <w:pPr>
        <w:tabs>
          <w:tab w:val="left" w:pos="7920"/>
        </w:tabs>
        <w:spacing w:line="360" w:lineRule="auto"/>
        <w:ind w:right="420"/>
        <w:rPr>
          <w:rFonts w:hint="eastAsia" w:ascii="宋体" w:hAnsi="宋体" w:eastAsia="宋体" w:cs="宋体"/>
          <w:b/>
          <w:color w:val="auto"/>
        </w:rPr>
      </w:pPr>
    </w:p>
    <w:p w14:paraId="1933CCCE">
      <w:pPr>
        <w:tabs>
          <w:tab w:val="left" w:pos="7920"/>
        </w:tabs>
        <w:spacing w:line="360" w:lineRule="auto"/>
        <w:ind w:right="420"/>
        <w:rPr>
          <w:rFonts w:hint="eastAsia" w:ascii="宋体" w:hAnsi="宋体" w:eastAsia="宋体" w:cs="宋体"/>
          <w:b/>
          <w:color w:val="auto"/>
        </w:rPr>
      </w:pPr>
    </w:p>
    <w:p w14:paraId="1E50ADFD">
      <w:pPr>
        <w:tabs>
          <w:tab w:val="left" w:pos="7920"/>
        </w:tabs>
        <w:spacing w:line="360" w:lineRule="auto"/>
        <w:ind w:right="420"/>
        <w:rPr>
          <w:rFonts w:hint="eastAsia" w:ascii="宋体" w:hAnsi="宋体" w:eastAsia="宋体" w:cs="宋体"/>
          <w:b/>
          <w:color w:val="auto"/>
          <w:sz w:val="24"/>
        </w:rPr>
      </w:pPr>
      <w:r>
        <w:rPr>
          <w:rFonts w:hint="eastAsia" w:ascii="宋体" w:hAnsi="宋体" w:eastAsia="宋体" w:cs="宋体"/>
          <w:b/>
          <w:color w:val="auto"/>
        </w:rPr>
        <w:t>注：如由法定代表人亲自到场，则“法定代表人身份证明”需由法定代表人另外单独携带一份原件至开标现场；如授权委托代理人到场则“法定代表人身份证明”不须提供。</w:t>
      </w:r>
    </w:p>
    <w:p w14:paraId="4643E8BA">
      <w:pPr>
        <w:tabs>
          <w:tab w:val="left" w:pos="7920"/>
        </w:tabs>
        <w:spacing w:line="360" w:lineRule="auto"/>
        <w:ind w:firstLine="570"/>
        <w:jc w:val="right"/>
        <w:rPr>
          <w:rFonts w:hint="eastAsia" w:ascii="宋体" w:hAnsi="宋体" w:eastAsia="宋体" w:cs="宋体"/>
          <w:color w:val="auto"/>
          <w:sz w:val="24"/>
        </w:rPr>
      </w:pPr>
    </w:p>
    <w:p w14:paraId="1270B6DA">
      <w:pPr>
        <w:rPr>
          <w:rFonts w:hint="eastAsia" w:ascii="宋体" w:hAnsi="宋体" w:eastAsia="宋体" w:cs="宋体"/>
          <w:color w:val="auto"/>
          <w:sz w:val="24"/>
        </w:rPr>
      </w:pPr>
    </w:p>
    <w:p w14:paraId="10F1114C">
      <w:pPr>
        <w:pStyle w:val="3"/>
        <w:numPr>
          <w:ilvl w:val="1"/>
          <w:numId w:val="0"/>
        </w:numPr>
        <w:spacing w:line="600" w:lineRule="exact"/>
        <w:jc w:val="center"/>
        <w:rPr>
          <w:rFonts w:hint="eastAsia" w:ascii="宋体" w:hAnsi="宋体" w:eastAsia="宋体" w:cs="宋体"/>
          <w:color w:val="auto"/>
          <w:w w:val="100"/>
          <w:kern w:val="32"/>
        </w:rPr>
      </w:pPr>
      <w:bookmarkStart w:id="234" w:name="_Toc22616"/>
      <w:bookmarkStart w:id="235" w:name="_Toc25719"/>
      <w:bookmarkStart w:id="236" w:name="_Toc27498"/>
      <w:bookmarkStart w:id="237" w:name="_Toc29009"/>
      <w:bookmarkStart w:id="238" w:name="_Toc4882"/>
      <w:bookmarkStart w:id="239" w:name="_Toc23017"/>
      <w:r>
        <w:rPr>
          <w:rFonts w:hint="eastAsia" w:ascii="宋体" w:hAnsi="宋体" w:eastAsia="宋体" w:cs="宋体"/>
          <w:color w:val="auto"/>
          <w:w w:val="100"/>
          <w:kern w:val="32"/>
        </w:rPr>
        <w:t>法定代表人授权委托书</w:t>
      </w:r>
      <w:bookmarkEnd w:id="234"/>
      <w:bookmarkEnd w:id="235"/>
      <w:bookmarkEnd w:id="236"/>
      <w:bookmarkEnd w:id="237"/>
      <w:bookmarkEnd w:id="238"/>
      <w:bookmarkEnd w:id="239"/>
    </w:p>
    <w:p w14:paraId="27092D32">
      <w:pPr>
        <w:spacing w:line="400" w:lineRule="exact"/>
        <w:ind w:left="480"/>
        <w:rPr>
          <w:rFonts w:hint="eastAsia" w:ascii="宋体" w:hAnsi="宋体" w:eastAsia="宋体" w:cs="宋体"/>
          <w:color w:val="auto"/>
          <w:sz w:val="24"/>
        </w:rPr>
      </w:pPr>
    </w:p>
    <w:p w14:paraId="4D84C26A">
      <w:pPr>
        <w:spacing w:line="400" w:lineRule="exact"/>
        <w:ind w:left="480"/>
        <w:rPr>
          <w:rFonts w:hint="eastAsia" w:ascii="宋体" w:hAnsi="宋体" w:eastAsia="宋体" w:cs="宋体"/>
          <w:color w:val="auto"/>
          <w:sz w:val="24"/>
        </w:rPr>
      </w:pPr>
    </w:p>
    <w:p w14:paraId="7E539978">
      <w:pPr>
        <w:spacing w:line="48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本人</w:t>
      </w:r>
      <w:r>
        <w:rPr>
          <w:rFonts w:hint="eastAsia" w:ascii="宋体" w:hAnsi="宋体" w:eastAsia="宋体" w:cs="宋体"/>
          <w:color w:val="auto"/>
          <w:sz w:val="24"/>
          <w:u w:val="single"/>
        </w:rPr>
        <w:t xml:space="preserve">        </w:t>
      </w:r>
      <w:r>
        <w:rPr>
          <w:rFonts w:hint="eastAsia" w:ascii="宋体" w:hAnsi="宋体" w:eastAsia="宋体" w:cs="宋体"/>
          <w:color w:val="auto"/>
          <w:sz w:val="24"/>
        </w:rPr>
        <w:t>（姓名）系</w:t>
      </w:r>
      <w:r>
        <w:rPr>
          <w:rFonts w:hint="eastAsia" w:ascii="宋体" w:hAnsi="宋体" w:eastAsia="宋体" w:cs="宋体"/>
          <w:color w:val="auto"/>
          <w:sz w:val="24"/>
          <w:u w:val="single"/>
        </w:rPr>
        <w:t xml:space="preserve">      </w:t>
      </w:r>
      <w:r>
        <w:rPr>
          <w:rFonts w:hint="eastAsia" w:ascii="宋体" w:hAnsi="宋体" w:eastAsia="宋体" w:cs="宋体"/>
          <w:color w:val="auto"/>
          <w:sz w:val="24"/>
        </w:rPr>
        <w:t>（投标人名称）的法定代表人，现委托</w:t>
      </w:r>
      <w:r>
        <w:rPr>
          <w:rFonts w:hint="eastAsia" w:ascii="宋体" w:hAnsi="宋体" w:eastAsia="宋体" w:cs="宋体"/>
          <w:color w:val="auto"/>
          <w:sz w:val="24"/>
          <w:u w:val="single"/>
        </w:rPr>
        <w:t xml:space="preserve">      </w:t>
      </w:r>
      <w:r>
        <w:rPr>
          <w:rFonts w:hint="eastAsia" w:ascii="宋体" w:hAnsi="宋体" w:eastAsia="宋体" w:cs="宋体"/>
          <w:color w:val="auto"/>
          <w:sz w:val="24"/>
        </w:rPr>
        <w:t>（姓名）为我方代理人。代理人根据授权，以我方名义签署、澄清、说明、补正、递交、撤回、修改</w:t>
      </w:r>
      <w:r>
        <w:rPr>
          <w:rFonts w:hint="eastAsia" w:ascii="宋体" w:hAnsi="宋体" w:eastAsia="宋体" w:cs="宋体"/>
          <w:color w:val="auto"/>
          <w:sz w:val="24"/>
          <w:u w:val="single"/>
        </w:rPr>
        <w:t xml:space="preserve">                            </w:t>
      </w:r>
      <w:r>
        <w:rPr>
          <w:rFonts w:hint="eastAsia" w:ascii="宋体" w:hAnsi="宋体" w:eastAsia="宋体" w:cs="宋体"/>
          <w:color w:val="auto"/>
          <w:sz w:val="24"/>
        </w:rPr>
        <w:t>投标文件、签订合同和处理有关事宜，其法律后果由我方承担。</w:t>
      </w:r>
    </w:p>
    <w:p w14:paraId="78F318DB">
      <w:pPr>
        <w:spacing w:line="48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委托期限：</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17AD560D">
      <w:pPr>
        <w:spacing w:line="48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代理人无转委托权。</w:t>
      </w:r>
    </w:p>
    <w:p w14:paraId="0516B516">
      <w:pPr>
        <w:spacing w:line="360" w:lineRule="auto"/>
        <w:ind w:firstLine="480" w:firstLineChars="200"/>
        <w:rPr>
          <w:rFonts w:hint="eastAsia" w:ascii="宋体" w:hAnsi="宋体" w:eastAsia="宋体" w:cs="宋体"/>
          <w:color w:val="auto"/>
          <w:sz w:val="24"/>
        </w:rPr>
      </w:pPr>
    </w:p>
    <w:p w14:paraId="7A7C24D7">
      <w:pPr>
        <w:spacing w:line="360" w:lineRule="auto"/>
        <w:ind w:firstLine="480" w:firstLineChars="200"/>
        <w:rPr>
          <w:rFonts w:hint="eastAsia" w:ascii="宋体" w:hAnsi="宋体" w:eastAsia="宋体" w:cs="宋体"/>
          <w:color w:val="auto"/>
          <w:sz w:val="24"/>
        </w:rPr>
      </w:pPr>
    </w:p>
    <w:p w14:paraId="3044DBDF">
      <w:pPr>
        <w:spacing w:line="360" w:lineRule="auto"/>
        <w:ind w:firstLine="480" w:firstLineChars="200"/>
        <w:rPr>
          <w:rFonts w:hint="eastAsia" w:ascii="宋体" w:hAnsi="宋体" w:eastAsia="宋体" w:cs="宋体"/>
          <w:color w:val="auto"/>
          <w:sz w:val="24"/>
        </w:rPr>
      </w:pPr>
    </w:p>
    <w:p w14:paraId="36325CD0">
      <w:pPr>
        <w:spacing w:line="480" w:lineRule="auto"/>
        <w:ind w:firstLine="2400" w:firstLineChars="1000"/>
        <w:rPr>
          <w:rFonts w:hint="eastAsia" w:ascii="宋体" w:hAnsi="宋体" w:eastAsia="宋体" w:cs="宋体"/>
          <w:color w:val="auto"/>
          <w:sz w:val="24"/>
        </w:rPr>
      </w:pPr>
      <w:r>
        <w:rPr>
          <w:rFonts w:hint="eastAsia" w:ascii="宋体" w:hAnsi="宋体" w:eastAsia="宋体" w:cs="宋体"/>
          <w:color w:val="auto"/>
          <w:sz w:val="24"/>
        </w:rPr>
        <w:t>投  标  人：</w:t>
      </w:r>
      <w:r>
        <w:rPr>
          <w:rFonts w:hint="eastAsia" w:ascii="宋体" w:hAnsi="宋体" w:eastAsia="宋体" w:cs="宋体"/>
          <w:color w:val="auto"/>
          <w:sz w:val="24"/>
          <w:u w:val="single"/>
        </w:rPr>
        <w:t xml:space="preserve">         （全称）       </w:t>
      </w:r>
      <w:r>
        <w:rPr>
          <w:rFonts w:hint="eastAsia" w:ascii="宋体" w:hAnsi="宋体" w:eastAsia="宋体" w:cs="宋体"/>
          <w:color w:val="auto"/>
          <w:sz w:val="24"/>
        </w:rPr>
        <w:t>（盖单位公章）</w:t>
      </w:r>
    </w:p>
    <w:p w14:paraId="23E76128">
      <w:pPr>
        <w:spacing w:line="480" w:lineRule="auto"/>
        <w:ind w:firstLine="2966" w:firstLineChars="1236"/>
        <w:rPr>
          <w:rFonts w:hint="eastAsia" w:ascii="宋体" w:hAnsi="宋体" w:eastAsia="宋体" w:cs="宋体"/>
          <w:color w:val="auto"/>
          <w:sz w:val="24"/>
        </w:rPr>
      </w:pP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w:t>
      </w:r>
    </w:p>
    <w:p w14:paraId="41DA2440">
      <w:pPr>
        <w:spacing w:line="480" w:lineRule="auto"/>
        <w:ind w:firstLine="2966" w:firstLineChars="1236"/>
        <w:rPr>
          <w:rFonts w:hint="eastAsia" w:ascii="宋体" w:hAnsi="宋体" w:eastAsia="宋体" w:cs="宋体"/>
          <w:color w:val="auto"/>
          <w:sz w:val="24"/>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p>
    <w:p w14:paraId="6BF96434">
      <w:pPr>
        <w:spacing w:line="480" w:lineRule="auto"/>
        <w:ind w:firstLine="2966" w:firstLineChars="1236"/>
        <w:rPr>
          <w:rFonts w:hint="eastAsia" w:ascii="宋体" w:hAnsi="宋体" w:eastAsia="宋体" w:cs="宋体"/>
          <w:color w:val="auto"/>
          <w:sz w:val="24"/>
        </w:rPr>
      </w:pPr>
      <w:r>
        <w:rPr>
          <w:rFonts w:hint="eastAsia" w:ascii="宋体" w:hAnsi="宋体" w:eastAsia="宋体" w:cs="宋体"/>
          <w:color w:val="auto"/>
          <w:sz w:val="24"/>
        </w:rPr>
        <w:t>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w:t>
      </w:r>
    </w:p>
    <w:p w14:paraId="772F98FA">
      <w:pPr>
        <w:spacing w:line="480" w:lineRule="auto"/>
        <w:ind w:firstLine="2966" w:firstLineChars="1236"/>
        <w:rPr>
          <w:rFonts w:hint="eastAsia" w:ascii="宋体" w:hAnsi="宋体" w:eastAsia="宋体" w:cs="宋体"/>
          <w:color w:val="auto"/>
          <w:sz w:val="24"/>
          <w:u w:val="single"/>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p>
    <w:p w14:paraId="7C4775E9">
      <w:pPr>
        <w:spacing w:line="480" w:lineRule="auto"/>
        <w:ind w:firstLine="480" w:firstLineChars="200"/>
        <w:jc w:val="right"/>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6045B0BC">
      <w:pPr>
        <w:spacing w:line="440" w:lineRule="exact"/>
        <w:ind w:firstLine="241" w:firstLineChars="100"/>
        <w:rPr>
          <w:rFonts w:hint="eastAsia" w:ascii="宋体" w:hAnsi="宋体" w:eastAsia="宋体" w:cs="宋体"/>
          <w:b/>
          <w:color w:val="auto"/>
          <w:sz w:val="24"/>
        </w:rPr>
      </w:pPr>
    </w:p>
    <w:p w14:paraId="7B38FF2C">
      <w:pPr>
        <w:spacing w:line="440" w:lineRule="exact"/>
        <w:ind w:firstLine="241" w:firstLineChars="100"/>
        <w:rPr>
          <w:rFonts w:hint="eastAsia" w:ascii="宋体" w:hAnsi="宋体" w:eastAsia="宋体" w:cs="宋体"/>
          <w:color w:val="auto"/>
          <w:sz w:val="24"/>
        </w:rPr>
      </w:pPr>
      <w:r>
        <w:rPr>
          <w:rFonts w:hint="eastAsia" w:ascii="宋体" w:hAnsi="宋体" w:eastAsia="宋体" w:cs="宋体"/>
          <w:b/>
          <w:color w:val="auto"/>
          <w:sz w:val="24"/>
        </w:rPr>
        <w:t>附：法定代表人及授权委托人身份证复印件（此附件为授权委托书的必要组成部分，无此附件的授权委托书无效）</w:t>
      </w:r>
    </w:p>
    <w:p w14:paraId="1BA40BD5">
      <w:pPr>
        <w:spacing w:line="480" w:lineRule="auto"/>
        <w:ind w:firstLine="420" w:firstLineChars="200"/>
        <w:jc w:val="right"/>
        <w:rPr>
          <w:rFonts w:hint="eastAsia" w:ascii="宋体" w:hAnsi="宋体" w:eastAsia="宋体" w:cs="宋体"/>
          <w:color w:val="auto"/>
        </w:rPr>
      </w:pPr>
    </w:p>
    <w:p w14:paraId="3F9C318E">
      <w:pPr>
        <w:spacing w:line="360" w:lineRule="auto"/>
        <w:ind w:firstLine="420" w:firstLineChars="200"/>
        <w:rPr>
          <w:rFonts w:hint="eastAsia" w:ascii="宋体" w:hAnsi="宋体" w:eastAsia="宋体" w:cs="宋体"/>
          <w:color w:val="auto"/>
        </w:rPr>
      </w:pPr>
    </w:p>
    <w:p w14:paraId="4E29C654">
      <w:pPr>
        <w:spacing w:line="360" w:lineRule="auto"/>
        <w:rPr>
          <w:rFonts w:hint="eastAsia" w:ascii="宋体" w:hAnsi="宋体" w:eastAsia="宋体" w:cs="宋体"/>
          <w:b/>
          <w:bCs/>
          <w:color w:val="auto"/>
          <w:szCs w:val="21"/>
        </w:rPr>
      </w:pPr>
      <w:r>
        <w:rPr>
          <w:rFonts w:hint="eastAsia" w:ascii="宋体" w:hAnsi="宋体" w:eastAsia="宋体" w:cs="宋体"/>
          <w:color w:val="auto"/>
        </w:rPr>
        <w:t xml:space="preserve">注：如为授权委托代理人到场，则“授权委托书”需由授权委托代理人另外单独携带一份原件至开标现场，如法定代表人到场则“授权委托书”不须提供。    </w:t>
      </w:r>
    </w:p>
    <w:p w14:paraId="2468B2FF">
      <w:pPr>
        <w:pStyle w:val="3"/>
        <w:numPr>
          <w:ilvl w:val="1"/>
          <w:numId w:val="0"/>
        </w:numPr>
        <w:spacing w:line="600" w:lineRule="exact"/>
        <w:jc w:val="center"/>
        <w:rPr>
          <w:rFonts w:hint="eastAsia" w:ascii="宋体" w:hAnsi="宋体" w:eastAsia="宋体" w:cs="宋体"/>
          <w:color w:val="auto"/>
          <w:w w:val="100"/>
          <w:kern w:val="32"/>
        </w:rPr>
      </w:pPr>
      <w:bookmarkStart w:id="240" w:name="_Toc1312"/>
      <w:bookmarkStart w:id="241" w:name="_Toc21164"/>
      <w:bookmarkStart w:id="242" w:name="_Toc4304"/>
      <w:bookmarkStart w:id="243" w:name="_Toc321052837"/>
      <w:bookmarkStart w:id="244" w:name="_Toc17455"/>
      <w:bookmarkStart w:id="245" w:name="_Toc25468"/>
      <w:bookmarkStart w:id="246" w:name="_Toc8741"/>
      <w:r>
        <w:rPr>
          <w:rFonts w:hint="eastAsia" w:ascii="宋体" w:hAnsi="宋体" w:eastAsia="宋体" w:cs="宋体"/>
          <w:color w:val="auto"/>
          <w:w w:val="100"/>
          <w:kern w:val="32"/>
        </w:rPr>
        <w:t>三、投标人基本情况说明</w:t>
      </w:r>
      <w:bookmarkEnd w:id="233"/>
      <w:bookmarkEnd w:id="240"/>
      <w:bookmarkEnd w:id="241"/>
      <w:bookmarkEnd w:id="242"/>
      <w:bookmarkEnd w:id="243"/>
      <w:bookmarkEnd w:id="244"/>
      <w:bookmarkEnd w:id="245"/>
      <w:bookmarkEnd w:id="246"/>
    </w:p>
    <w:p w14:paraId="0603D7FC">
      <w:pPr>
        <w:spacing w:line="360" w:lineRule="auto"/>
        <w:rPr>
          <w:rFonts w:hint="eastAsia" w:ascii="宋体" w:hAnsi="宋体" w:eastAsia="宋体" w:cs="宋体"/>
          <w:color w:val="auto"/>
          <w:sz w:val="24"/>
        </w:rPr>
      </w:pPr>
      <w:r>
        <w:rPr>
          <w:rFonts w:hint="eastAsia" w:ascii="宋体" w:hAnsi="宋体" w:eastAsia="宋体" w:cs="宋体"/>
          <w:color w:val="auto"/>
          <w:sz w:val="24"/>
        </w:rPr>
        <w:t>（一）名称及有关情况：</w:t>
      </w:r>
    </w:p>
    <w:p w14:paraId="3532FB69">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（1）名称：</w:t>
      </w:r>
    </w:p>
    <w:p w14:paraId="0F714F98">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（2）地址：　　　　　　　　　传真/电话：　　　　　邮编：</w:t>
      </w:r>
    </w:p>
    <w:p w14:paraId="17927B23">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（3）成立或注册日期：</w:t>
      </w:r>
    </w:p>
    <w:p w14:paraId="1B09E6B2">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（4）法人代表姓名：</w:t>
      </w:r>
    </w:p>
    <w:p w14:paraId="5C75349D">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（5）开户银行名称及地址：</w:t>
      </w:r>
    </w:p>
    <w:p w14:paraId="6597C624">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（6）投标人在湖南地区的代表姓名和地址邮编、传真、电话</w:t>
      </w:r>
    </w:p>
    <w:p w14:paraId="7E55992F">
      <w:pPr>
        <w:spacing w:line="360" w:lineRule="auto"/>
        <w:rPr>
          <w:rFonts w:hint="eastAsia" w:ascii="宋体" w:hAnsi="宋体" w:eastAsia="宋体" w:cs="宋体"/>
          <w:color w:val="auto"/>
          <w:sz w:val="24"/>
        </w:rPr>
      </w:pPr>
      <w:r>
        <w:rPr>
          <w:rFonts w:hint="eastAsia" w:ascii="宋体" w:hAnsi="宋体" w:eastAsia="宋体" w:cs="宋体"/>
          <w:color w:val="auto"/>
          <w:sz w:val="24"/>
        </w:rPr>
        <w:t>（二）投标人简介：主要包括以下内容</w:t>
      </w:r>
    </w:p>
    <w:p w14:paraId="7C86AA8F">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（1）企业发展简史</w:t>
      </w:r>
    </w:p>
    <w:p w14:paraId="2D734D21">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（2）企业生产经营场所、拥有的生产经营设备，及现有技术人员等</w:t>
      </w:r>
    </w:p>
    <w:p w14:paraId="7939F313">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（3）企业生产经营情况、财务现状等</w:t>
      </w:r>
    </w:p>
    <w:p w14:paraId="21EAD166">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rPr>
        <w:t>（4）企业获得的荣誉、受过的违规处罚情况等</w:t>
      </w:r>
    </w:p>
    <w:p w14:paraId="22AD88B8">
      <w:pPr>
        <w:spacing w:line="360" w:lineRule="auto"/>
        <w:rPr>
          <w:rFonts w:hint="eastAsia" w:ascii="宋体" w:hAnsi="宋体" w:eastAsia="宋体" w:cs="宋体"/>
          <w:color w:val="auto"/>
          <w:sz w:val="24"/>
        </w:rPr>
      </w:pPr>
      <w:r>
        <w:rPr>
          <w:rFonts w:hint="eastAsia" w:ascii="宋体" w:hAnsi="宋体" w:eastAsia="宋体" w:cs="宋体"/>
          <w:color w:val="auto"/>
          <w:sz w:val="24"/>
        </w:rPr>
        <w:t>（三）投标人认为需要说明的其它情况</w:t>
      </w:r>
    </w:p>
    <w:p w14:paraId="4E5EEF0D">
      <w:pPr>
        <w:spacing w:line="400" w:lineRule="exact"/>
        <w:rPr>
          <w:rFonts w:hint="eastAsia" w:ascii="宋体" w:hAnsi="宋体" w:eastAsia="宋体" w:cs="宋体"/>
          <w:color w:val="auto"/>
          <w:sz w:val="24"/>
        </w:rPr>
      </w:pPr>
    </w:p>
    <w:p w14:paraId="5A16EAA9">
      <w:pPr>
        <w:spacing w:line="400" w:lineRule="exact"/>
        <w:rPr>
          <w:rFonts w:hint="eastAsia" w:ascii="宋体" w:hAnsi="宋体" w:eastAsia="宋体" w:cs="宋体"/>
          <w:color w:val="auto"/>
          <w:sz w:val="24"/>
        </w:rPr>
      </w:pPr>
    </w:p>
    <w:p w14:paraId="7195A90C">
      <w:pPr>
        <w:pStyle w:val="3"/>
        <w:numPr>
          <w:ilvl w:val="1"/>
          <w:numId w:val="0"/>
        </w:numPr>
        <w:spacing w:line="600" w:lineRule="exact"/>
        <w:jc w:val="center"/>
        <w:rPr>
          <w:rFonts w:hint="eastAsia" w:ascii="宋体" w:hAnsi="宋体" w:eastAsia="宋体" w:cs="宋体"/>
          <w:color w:val="auto"/>
          <w:w w:val="100"/>
          <w:kern w:val="32"/>
          <w:sz w:val="24"/>
        </w:rPr>
      </w:pPr>
      <w:r>
        <w:rPr>
          <w:rFonts w:hint="eastAsia" w:ascii="宋体" w:hAnsi="宋体" w:eastAsia="宋体" w:cs="宋体"/>
          <w:color w:val="auto"/>
        </w:rPr>
        <w:br w:type="page"/>
      </w:r>
      <w:bookmarkStart w:id="247" w:name="_Toc11445"/>
      <w:bookmarkStart w:id="248" w:name="_Toc227520437"/>
      <w:bookmarkStart w:id="249" w:name="_Toc29755"/>
      <w:bookmarkStart w:id="250" w:name="_Toc321052838"/>
      <w:bookmarkStart w:id="251" w:name="_Toc22522"/>
      <w:bookmarkStart w:id="252" w:name="_Toc23853"/>
      <w:bookmarkStart w:id="253" w:name="_Toc17452"/>
      <w:bookmarkStart w:id="254" w:name="_Toc20701"/>
      <w:r>
        <w:rPr>
          <w:rFonts w:hint="eastAsia" w:ascii="宋体" w:hAnsi="宋体" w:eastAsia="宋体" w:cs="宋体"/>
          <w:color w:val="auto"/>
          <w:w w:val="100"/>
          <w:kern w:val="32"/>
        </w:rPr>
        <w:t>四、投标报价表</w:t>
      </w:r>
      <w:bookmarkEnd w:id="247"/>
      <w:bookmarkEnd w:id="248"/>
      <w:bookmarkEnd w:id="249"/>
      <w:bookmarkEnd w:id="250"/>
      <w:bookmarkEnd w:id="251"/>
      <w:bookmarkEnd w:id="252"/>
      <w:bookmarkEnd w:id="253"/>
      <w:bookmarkEnd w:id="254"/>
    </w:p>
    <w:p w14:paraId="33D11BE2">
      <w:pPr>
        <w:keepNext w:val="0"/>
        <w:keepLines w:val="0"/>
        <w:pageBreakBefore w:val="0"/>
        <w:widowControl w:val="0"/>
        <w:kinsoku/>
        <w:wordWrap/>
        <w:overflowPunct/>
        <w:topLinePunct w:val="0"/>
        <w:autoSpaceDE/>
        <w:autoSpaceDN/>
        <w:bidi w:val="0"/>
        <w:adjustRightInd w:val="0"/>
        <w:snapToGrid w:val="0"/>
        <w:spacing w:line="240" w:lineRule="auto"/>
        <w:ind w:right="360"/>
        <w:textAlignment w:val="auto"/>
        <w:rPr>
          <w:rFonts w:hint="eastAsia" w:ascii="宋体" w:hAnsi="宋体" w:eastAsia="宋体" w:cs="宋体"/>
          <w:color w:val="auto"/>
          <w:sz w:val="24"/>
        </w:rPr>
      </w:pPr>
      <w:r>
        <w:rPr>
          <w:rFonts w:hint="eastAsia" w:ascii="宋体" w:hAnsi="宋体" w:eastAsia="宋体" w:cs="宋体"/>
          <w:color w:val="auto"/>
          <w:sz w:val="24"/>
        </w:rPr>
        <w:t xml:space="preserve">                                                   单位：元（人民币）</w:t>
      </w:r>
    </w:p>
    <w:p w14:paraId="184A407E">
      <w:pPr>
        <w:keepNext w:val="0"/>
        <w:keepLines w:val="0"/>
        <w:pageBreakBefore w:val="0"/>
        <w:widowControl w:val="0"/>
        <w:kinsoku/>
        <w:wordWrap/>
        <w:overflowPunct/>
        <w:topLinePunct w:val="0"/>
        <w:autoSpaceDE/>
        <w:autoSpaceDN/>
        <w:bidi w:val="0"/>
        <w:adjustRightInd w:val="0"/>
        <w:snapToGrid w:val="0"/>
        <w:spacing w:line="240" w:lineRule="auto"/>
        <w:ind w:right="360"/>
        <w:textAlignment w:val="auto"/>
        <w:rPr>
          <w:rFonts w:hint="eastAsia" w:ascii="宋体" w:hAnsi="宋体" w:eastAsia="宋体" w:cs="宋体"/>
          <w:color w:val="auto"/>
          <w:sz w:val="24"/>
        </w:rPr>
      </w:pPr>
    </w:p>
    <w:tbl>
      <w:tblPr>
        <w:tblStyle w:val="39"/>
        <w:tblpPr w:leftFromText="180" w:rightFromText="180" w:vertAnchor="text" w:horzAnchor="page" w:tblpX="1762" w:tblpY="222"/>
        <w:tblOverlap w:val="never"/>
        <w:tblW w:w="89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1"/>
        <w:gridCol w:w="2295"/>
        <w:gridCol w:w="2295"/>
        <w:gridCol w:w="2295"/>
      </w:tblGrid>
      <w:tr w14:paraId="754B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2031" w:type="dxa"/>
            <w:vAlign w:val="center"/>
          </w:tcPr>
          <w:p w14:paraId="1E99C4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项目名称</w:t>
            </w:r>
          </w:p>
        </w:tc>
        <w:tc>
          <w:tcPr>
            <w:tcW w:w="2295" w:type="dxa"/>
            <w:vAlign w:val="center"/>
          </w:tcPr>
          <w:p w14:paraId="0EE56C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高层电梯住宅</w:t>
            </w:r>
          </w:p>
        </w:tc>
        <w:tc>
          <w:tcPr>
            <w:tcW w:w="2295" w:type="dxa"/>
            <w:vAlign w:val="center"/>
          </w:tcPr>
          <w:p w14:paraId="2C532F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商业</w:t>
            </w:r>
          </w:p>
        </w:tc>
        <w:tc>
          <w:tcPr>
            <w:tcW w:w="2295" w:type="dxa"/>
            <w:vAlign w:val="center"/>
          </w:tcPr>
          <w:p w14:paraId="5FBD18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装修垃圾</w:t>
            </w:r>
          </w:p>
          <w:p w14:paraId="6284B1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清运费</w:t>
            </w:r>
          </w:p>
        </w:tc>
      </w:tr>
      <w:tr w14:paraId="2A1F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2031" w:type="dxa"/>
            <w:vAlign w:val="center"/>
          </w:tcPr>
          <w:p w14:paraId="67C64F1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投标报价（单价）</w:t>
            </w:r>
          </w:p>
        </w:tc>
        <w:tc>
          <w:tcPr>
            <w:tcW w:w="2295" w:type="dxa"/>
            <w:vAlign w:val="center"/>
          </w:tcPr>
          <w:p w14:paraId="50A9A1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元/㎡/月</w:t>
            </w:r>
          </w:p>
        </w:tc>
        <w:tc>
          <w:tcPr>
            <w:tcW w:w="2295" w:type="dxa"/>
            <w:vAlign w:val="center"/>
          </w:tcPr>
          <w:p w14:paraId="7D4916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元/㎡/月</w:t>
            </w:r>
          </w:p>
        </w:tc>
        <w:tc>
          <w:tcPr>
            <w:tcW w:w="2295" w:type="dxa"/>
            <w:vAlign w:val="center"/>
          </w:tcPr>
          <w:p w14:paraId="669FB9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w:t>
            </w:r>
          </w:p>
        </w:tc>
      </w:tr>
      <w:tr w14:paraId="014F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2031" w:type="dxa"/>
            <w:vAlign w:val="center"/>
          </w:tcPr>
          <w:p w14:paraId="7CA901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首年</w:t>
            </w:r>
            <w:r>
              <w:rPr>
                <w:rFonts w:hint="eastAsia" w:ascii="宋体" w:hAnsi="宋体" w:eastAsia="宋体" w:cs="宋体"/>
                <w:color w:val="auto"/>
                <w:sz w:val="24"/>
                <w:szCs w:val="24"/>
                <w:lang w:val="en-US" w:eastAsia="zh-CN"/>
              </w:rPr>
              <w:t>投标总报价</w:t>
            </w:r>
          </w:p>
        </w:tc>
        <w:tc>
          <w:tcPr>
            <w:tcW w:w="6885" w:type="dxa"/>
            <w:gridSpan w:val="3"/>
            <w:vAlign w:val="center"/>
          </w:tcPr>
          <w:p w14:paraId="094235CC">
            <w:pPr>
              <w:rPr>
                <w:rFonts w:hint="eastAsia" w:ascii="宋体" w:hAnsi="宋体" w:eastAsia="宋体" w:cs="宋体"/>
                <w:color w:val="auto"/>
                <w:sz w:val="24"/>
                <w:szCs w:val="24"/>
              </w:rPr>
            </w:pPr>
          </w:p>
          <w:p w14:paraId="4BFE8E42">
            <w:pPr>
              <w:rPr>
                <w:rFonts w:hint="eastAsia" w:ascii="宋体" w:hAnsi="宋体" w:eastAsia="宋体" w:cs="宋体"/>
                <w:color w:val="auto"/>
                <w:sz w:val="24"/>
                <w:szCs w:val="24"/>
              </w:rPr>
            </w:pPr>
            <w:r>
              <w:rPr>
                <w:rFonts w:hint="eastAsia" w:ascii="宋体" w:hAnsi="宋体" w:eastAsia="宋体" w:cs="宋体"/>
                <w:color w:val="auto"/>
                <w:sz w:val="24"/>
                <w:szCs w:val="24"/>
              </w:rPr>
              <w:t>大写：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元人民币整</w:t>
            </w:r>
          </w:p>
          <w:p w14:paraId="33A1A8FF">
            <w:pPr>
              <w:rPr>
                <w:rFonts w:hint="eastAsia" w:ascii="宋体" w:hAnsi="宋体" w:eastAsia="宋体" w:cs="宋体"/>
                <w:color w:val="auto"/>
                <w:sz w:val="24"/>
                <w:szCs w:val="24"/>
              </w:rPr>
            </w:pPr>
          </w:p>
          <w:p w14:paraId="1E164326">
            <w:pPr>
              <w:spacing w:line="360" w:lineRule="atLeast"/>
              <w:rPr>
                <w:rFonts w:hint="eastAsia" w:ascii="宋体" w:hAnsi="宋体" w:eastAsia="宋体" w:cs="宋体"/>
                <w:color w:val="auto"/>
                <w:sz w:val="24"/>
                <w:szCs w:val="24"/>
              </w:rPr>
            </w:pPr>
            <w:r>
              <w:rPr>
                <w:rFonts w:hint="eastAsia" w:ascii="宋体" w:hAnsi="宋体" w:eastAsia="宋体" w:cs="宋体"/>
                <w:color w:val="auto"/>
                <w:sz w:val="24"/>
                <w:szCs w:val="24"/>
              </w:rPr>
              <w:t>小写：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元人民币整</w:t>
            </w:r>
          </w:p>
          <w:p w14:paraId="06249B4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u w:val="single"/>
                <w:lang w:val="en-US" w:eastAsia="zh-CN"/>
              </w:rPr>
            </w:pPr>
          </w:p>
        </w:tc>
      </w:tr>
      <w:tr w14:paraId="2CE7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031" w:type="dxa"/>
            <w:vAlign w:val="center"/>
          </w:tcPr>
          <w:p w14:paraId="12ADA31D">
            <w:pPr>
              <w:keepNext w:val="0"/>
              <w:keepLines w:val="0"/>
              <w:pageBreakBefore w:val="0"/>
              <w:widowControl w:val="0"/>
              <w:kinsoku/>
              <w:wordWrap/>
              <w:overflowPunct/>
              <w:topLinePunct w:val="0"/>
              <w:autoSpaceDE/>
              <w:autoSpaceDN/>
              <w:bidi w:val="0"/>
              <w:adjustRightInd w:val="0"/>
              <w:snapToGrid w:val="0"/>
              <w:spacing w:line="240" w:lineRule="auto"/>
              <w:ind w:left="1200" w:leftChars="0" w:hanging="1200" w:hangingChars="5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服务期限</w:t>
            </w:r>
          </w:p>
        </w:tc>
        <w:tc>
          <w:tcPr>
            <w:tcW w:w="6885" w:type="dxa"/>
            <w:gridSpan w:val="3"/>
            <w:vAlign w:val="center"/>
          </w:tcPr>
          <w:p w14:paraId="4144B7D2">
            <w:pPr>
              <w:pStyle w:val="61"/>
              <w:keepNext w:val="0"/>
              <w:keepLines w:val="0"/>
              <w:pageBreakBefore w:val="0"/>
              <w:widowControl w:val="0"/>
              <w:pBdr>
                <w:left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rPr>
              <w:t>响应招标文件要求</w:t>
            </w:r>
          </w:p>
        </w:tc>
      </w:tr>
      <w:tr w14:paraId="456D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031" w:type="dxa"/>
            <w:vAlign w:val="center"/>
          </w:tcPr>
          <w:p w14:paraId="6178D8C3">
            <w:pPr>
              <w:keepNext w:val="0"/>
              <w:keepLines w:val="0"/>
              <w:pageBreakBefore w:val="0"/>
              <w:widowControl w:val="0"/>
              <w:kinsoku/>
              <w:wordWrap/>
              <w:overflowPunct/>
              <w:topLinePunct w:val="0"/>
              <w:autoSpaceDE/>
              <w:autoSpaceDN/>
              <w:bidi w:val="0"/>
              <w:adjustRightInd w:val="0"/>
              <w:snapToGrid w:val="0"/>
              <w:spacing w:line="240" w:lineRule="auto"/>
              <w:ind w:left="1200" w:leftChars="0" w:hanging="1200" w:hangingChars="5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质量</w:t>
            </w:r>
            <w:r>
              <w:rPr>
                <w:rFonts w:hint="eastAsia" w:ascii="宋体" w:hAnsi="宋体" w:eastAsia="宋体" w:cs="宋体"/>
                <w:color w:val="auto"/>
                <w:sz w:val="24"/>
                <w:szCs w:val="24"/>
              </w:rPr>
              <w:t>承诺</w:t>
            </w:r>
          </w:p>
        </w:tc>
        <w:tc>
          <w:tcPr>
            <w:tcW w:w="6885" w:type="dxa"/>
            <w:gridSpan w:val="3"/>
            <w:vAlign w:val="center"/>
          </w:tcPr>
          <w:p w14:paraId="5C15B940">
            <w:pPr>
              <w:pStyle w:val="61"/>
              <w:keepNext w:val="0"/>
              <w:keepLines w:val="0"/>
              <w:pageBreakBefore w:val="0"/>
              <w:widowControl w:val="0"/>
              <w:pBdr>
                <w:left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rPr>
              <w:t>响应招标文件要求</w:t>
            </w:r>
          </w:p>
        </w:tc>
      </w:tr>
      <w:tr w14:paraId="089A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031" w:type="dxa"/>
            <w:vAlign w:val="center"/>
          </w:tcPr>
          <w:p w14:paraId="38C0881B">
            <w:pPr>
              <w:keepNext w:val="0"/>
              <w:keepLines w:val="0"/>
              <w:pageBreakBefore w:val="0"/>
              <w:widowControl w:val="0"/>
              <w:kinsoku/>
              <w:wordWrap/>
              <w:overflowPunct/>
              <w:topLinePunct w:val="0"/>
              <w:autoSpaceDE/>
              <w:autoSpaceDN/>
              <w:bidi w:val="0"/>
              <w:adjustRightInd w:val="0"/>
              <w:snapToGrid w:val="0"/>
              <w:spacing w:line="240" w:lineRule="auto"/>
              <w:ind w:left="1200" w:leftChars="0" w:hanging="1200" w:hangingChars="5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合同条款</w:t>
            </w:r>
          </w:p>
        </w:tc>
        <w:tc>
          <w:tcPr>
            <w:tcW w:w="6885" w:type="dxa"/>
            <w:gridSpan w:val="3"/>
            <w:vAlign w:val="center"/>
          </w:tcPr>
          <w:p w14:paraId="62E81F80">
            <w:pPr>
              <w:pStyle w:val="61"/>
              <w:keepNext w:val="0"/>
              <w:keepLines w:val="0"/>
              <w:pageBreakBefore w:val="0"/>
              <w:widowControl w:val="0"/>
              <w:pBdr>
                <w:left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rPr>
              <w:t>同意并接受招标文件的全部内容。</w:t>
            </w:r>
          </w:p>
        </w:tc>
      </w:tr>
      <w:tr w14:paraId="2EBD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031" w:type="dxa"/>
            <w:vAlign w:val="center"/>
          </w:tcPr>
          <w:p w14:paraId="70435CA1">
            <w:pPr>
              <w:keepNext w:val="0"/>
              <w:keepLines w:val="0"/>
              <w:pageBreakBefore w:val="0"/>
              <w:widowControl w:val="0"/>
              <w:kinsoku/>
              <w:wordWrap/>
              <w:overflowPunct/>
              <w:topLinePunct w:val="0"/>
              <w:autoSpaceDE/>
              <w:autoSpaceDN/>
              <w:bidi w:val="0"/>
              <w:adjustRightInd w:val="0"/>
              <w:snapToGrid w:val="0"/>
              <w:spacing w:line="240" w:lineRule="auto"/>
              <w:ind w:left="1200" w:leftChars="0" w:hanging="1200" w:hangingChars="5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项目经理</w:t>
            </w:r>
          </w:p>
        </w:tc>
        <w:tc>
          <w:tcPr>
            <w:tcW w:w="6885" w:type="dxa"/>
            <w:gridSpan w:val="3"/>
            <w:vAlign w:val="center"/>
          </w:tcPr>
          <w:p w14:paraId="2708AD9C">
            <w:pPr>
              <w:pStyle w:val="61"/>
              <w:keepNext w:val="0"/>
              <w:keepLines w:val="0"/>
              <w:pageBreakBefore w:val="0"/>
              <w:widowControl w:val="0"/>
              <w:pBdr>
                <w:left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jc w:val="center"/>
              <w:textAlignment w:val="auto"/>
              <w:rPr>
                <w:rFonts w:hint="eastAsia" w:ascii="宋体" w:hAnsi="宋体" w:eastAsia="宋体" w:cs="宋体"/>
                <w:color w:val="auto"/>
                <w:kern w:val="2"/>
                <w:sz w:val="24"/>
                <w:szCs w:val="24"/>
                <w:lang w:val="en-US" w:eastAsia="zh-CN" w:bidi="ar-SA"/>
              </w:rPr>
            </w:pPr>
          </w:p>
        </w:tc>
      </w:tr>
      <w:tr w14:paraId="3AF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031" w:type="dxa"/>
            <w:vAlign w:val="center"/>
          </w:tcPr>
          <w:p w14:paraId="6FCE7AC5">
            <w:pPr>
              <w:keepNext w:val="0"/>
              <w:keepLines w:val="0"/>
              <w:pageBreakBefore w:val="0"/>
              <w:widowControl w:val="0"/>
              <w:kinsoku/>
              <w:wordWrap/>
              <w:overflowPunct/>
              <w:topLinePunct w:val="0"/>
              <w:autoSpaceDE/>
              <w:autoSpaceDN/>
              <w:bidi w:val="0"/>
              <w:adjustRightInd w:val="0"/>
              <w:snapToGrid w:val="0"/>
              <w:spacing w:line="240" w:lineRule="auto"/>
              <w:ind w:left="1200" w:leftChars="0" w:hanging="1200" w:hangingChars="50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备注</w:t>
            </w:r>
          </w:p>
        </w:tc>
        <w:tc>
          <w:tcPr>
            <w:tcW w:w="6885" w:type="dxa"/>
            <w:gridSpan w:val="3"/>
            <w:vAlign w:val="center"/>
          </w:tcPr>
          <w:p w14:paraId="53E6EFFE">
            <w:pPr>
              <w:pStyle w:val="61"/>
              <w:keepNext w:val="0"/>
              <w:keepLines w:val="0"/>
              <w:pageBreakBefore w:val="0"/>
              <w:widowControl w:val="0"/>
              <w:pBdr>
                <w:left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jc w:val="center"/>
              <w:textAlignment w:val="auto"/>
              <w:rPr>
                <w:rFonts w:hint="eastAsia" w:ascii="宋体" w:hAnsi="宋体" w:eastAsia="宋体" w:cs="宋体"/>
                <w:color w:val="auto"/>
                <w:kern w:val="2"/>
                <w:sz w:val="24"/>
                <w:szCs w:val="24"/>
                <w:lang w:val="en-US" w:eastAsia="zh-CN" w:bidi="ar-SA"/>
              </w:rPr>
            </w:pPr>
          </w:p>
        </w:tc>
      </w:tr>
    </w:tbl>
    <w:p w14:paraId="7E103E0D">
      <w:pPr>
        <w:keepNext w:val="0"/>
        <w:keepLines w:val="0"/>
        <w:pageBreakBefore w:val="0"/>
        <w:widowControl w:val="0"/>
        <w:kinsoku/>
        <w:wordWrap/>
        <w:overflowPunct/>
        <w:topLinePunct w:val="0"/>
        <w:autoSpaceDE/>
        <w:autoSpaceDN/>
        <w:bidi w:val="0"/>
        <w:adjustRightInd w:val="0"/>
        <w:snapToGrid w:val="0"/>
        <w:spacing w:line="240" w:lineRule="auto"/>
        <w:ind w:right="360"/>
        <w:textAlignment w:val="auto"/>
        <w:rPr>
          <w:rFonts w:hint="eastAsia" w:ascii="宋体" w:hAnsi="宋体" w:eastAsia="宋体" w:cs="宋体"/>
          <w:color w:val="auto"/>
          <w:sz w:val="24"/>
        </w:rPr>
      </w:pPr>
    </w:p>
    <w:p w14:paraId="261B1FA2">
      <w:pPr>
        <w:pStyle w:val="18"/>
        <w:spacing w:line="400" w:lineRule="exact"/>
        <w:ind w:left="0" w:leftChars="0"/>
        <w:rPr>
          <w:rFonts w:hint="eastAsia" w:ascii="宋体" w:hAnsi="宋体" w:eastAsia="宋体" w:cs="宋体"/>
          <w:b/>
          <w:color w:val="auto"/>
          <w:sz w:val="24"/>
        </w:rPr>
      </w:pPr>
    </w:p>
    <w:p w14:paraId="6159A30F">
      <w:pPr>
        <w:rPr>
          <w:rFonts w:hint="eastAsia" w:ascii="宋体" w:hAnsi="宋体" w:eastAsia="宋体" w:cs="宋体"/>
          <w:color w:val="auto"/>
        </w:rPr>
      </w:pPr>
    </w:p>
    <w:p w14:paraId="1125C7FB">
      <w:pPr>
        <w:spacing w:line="360" w:lineRule="auto"/>
        <w:ind w:firstLine="495"/>
        <w:jc w:val="right"/>
        <w:rPr>
          <w:rFonts w:hint="eastAsia" w:ascii="宋体" w:hAnsi="宋体" w:eastAsia="宋体" w:cs="宋体"/>
          <w:color w:val="auto"/>
          <w:sz w:val="24"/>
        </w:rPr>
      </w:pPr>
      <w:r>
        <w:rPr>
          <w:rFonts w:hint="eastAsia" w:ascii="宋体" w:hAnsi="宋体" w:eastAsia="宋体" w:cs="宋体"/>
          <w:color w:val="auto"/>
          <w:sz w:val="24"/>
        </w:rPr>
        <w:t>投 标 人：</w:t>
      </w:r>
      <w:r>
        <w:rPr>
          <w:rFonts w:hint="eastAsia" w:ascii="宋体" w:hAnsi="宋体" w:eastAsia="宋体" w:cs="宋体"/>
          <w:color w:val="auto"/>
          <w:sz w:val="24"/>
          <w:u w:val="single"/>
        </w:rPr>
        <w:t xml:space="preserve">               （全称）                </w:t>
      </w:r>
      <w:r>
        <w:rPr>
          <w:rFonts w:hint="eastAsia" w:ascii="宋体" w:hAnsi="宋体" w:eastAsia="宋体" w:cs="宋体"/>
          <w:color w:val="auto"/>
          <w:sz w:val="24"/>
        </w:rPr>
        <w:t>（盖单位公章）</w:t>
      </w:r>
    </w:p>
    <w:p w14:paraId="746F6C0E">
      <w:pPr>
        <w:spacing w:line="360" w:lineRule="auto"/>
        <w:ind w:firstLine="495"/>
        <w:jc w:val="right"/>
        <w:rPr>
          <w:rFonts w:hint="eastAsia" w:ascii="宋体" w:hAnsi="宋体" w:eastAsia="宋体" w:cs="宋体"/>
          <w:color w:val="auto"/>
          <w:sz w:val="24"/>
        </w:rPr>
      </w:pPr>
      <w:r>
        <w:rPr>
          <w:rFonts w:hint="eastAsia" w:ascii="宋体" w:hAnsi="宋体" w:eastAsia="宋体" w:cs="宋体"/>
          <w:color w:val="auto"/>
          <w:sz w:val="24"/>
        </w:rPr>
        <w:t>法定代表人或其委托代理人：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7A165353">
      <w:pPr>
        <w:spacing w:line="400" w:lineRule="exact"/>
        <w:jc w:val="right"/>
        <w:rPr>
          <w:rFonts w:hint="eastAsia" w:ascii="宋体" w:hAnsi="宋体" w:eastAsia="宋体" w:cs="宋体"/>
          <w:color w:val="auto"/>
          <w:sz w:val="24"/>
        </w:rPr>
      </w:pPr>
      <w:r>
        <w:rPr>
          <w:rFonts w:hint="eastAsia" w:ascii="宋体" w:hAnsi="宋体" w:eastAsia="宋体" w:cs="宋体"/>
          <w:color w:val="auto"/>
          <w:sz w:val="24"/>
        </w:rPr>
        <w:t xml:space="preserve">                                 年   月   日</w:t>
      </w:r>
    </w:p>
    <w:p w14:paraId="1CA0F5DE">
      <w:pPr>
        <w:keepLines w:val="0"/>
        <w:pageBreakBefore w:val="0"/>
        <w:kinsoku/>
        <w:wordWrap/>
        <w:overflowPunct/>
        <w:topLinePunct w:val="0"/>
        <w:autoSpaceDE/>
        <w:autoSpaceDN/>
        <w:bidi w:val="0"/>
        <w:adjustRightInd w:val="0"/>
        <w:snapToGrid w:val="0"/>
        <w:spacing w:line="360" w:lineRule="auto"/>
        <w:jc w:val="both"/>
        <w:textAlignment w:val="auto"/>
        <w:outlineLvl w:val="9"/>
        <w:rPr>
          <w:rFonts w:hint="eastAsia" w:ascii="宋体" w:hAnsi="宋体" w:eastAsia="宋体" w:cs="宋体"/>
          <w:b/>
          <w:color w:val="auto"/>
          <w:sz w:val="24"/>
        </w:rPr>
      </w:pPr>
      <w:bookmarkStart w:id="255" w:name="_Toc321052845"/>
      <w:bookmarkStart w:id="256" w:name="_Toc321052839"/>
      <w:bookmarkStart w:id="257" w:name="_Toc228255662"/>
    </w:p>
    <w:p w14:paraId="67898F59">
      <w:pPr>
        <w:keepLines w:val="0"/>
        <w:pageBreakBefore w:val="0"/>
        <w:kinsoku/>
        <w:wordWrap/>
        <w:overflowPunct/>
        <w:topLinePunct w:val="0"/>
        <w:autoSpaceDE/>
        <w:autoSpaceDN/>
        <w:bidi w:val="0"/>
        <w:adjustRightInd w:val="0"/>
        <w:snapToGrid w:val="0"/>
        <w:spacing w:line="360" w:lineRule="auto"/>
        <w:jc w:val="both"/>
        <w:textAlignment w:val="auto"/>
        <w:outlineLvl w:val="9"/>
        <w:rPr>
          <w:rFonts w:hint="eastAsia" w:ascii="宋体" w:hAnsi="宋体" w:eastAsia="宋体" w:cs="宋体"/>
          <w:b/>
          <w:color w:val="auto"/>
          <w:sz w:val="24"/>
        </w:rPr>
      </w:pPr>
    </w:p>
    <w:p w14:paraId="5F406389">
      <w:pPr>
        <w:keepNext w:val="0"/>
        <w:keepLines w:val="0"/>
        <w:pageBreakBefore w:val="0"/>
        <w:widowControl/>
        <w:numPr>
          <w:ilvl w:val="-1"/>
          <w:numId w:val="0"/>
        </w:numPr>
        <w:kinsoku/>
        <w:wordWrap/>
        <w:overflowPunct/>
        <w:topLinePunct w:val="0"/>
        <w:autoSpaceDE/>
        <w:autoSpaceDN/>
        <w:bidi w:val="0"/>
        <w:adjustRightInd w:val="0"/>
        <w:snapToGrid w:val="0"/>
        <w:spacing w:line="360" w:lineRule="auto"/>
        <w:ind w:firstLine="0" w:firstLineChars="0"/>
        <w:jc w:val="center"/>
        <w:textAlignment w:val="auto"/>
        <w:outlineLvl w:val="9"/>
        <w:rPr>
          <w:rFonts w:hint="eastAsia" w:ascii="宋体" w:hAnsi="宋体" w:eastAsia="宋体" w:cs="宋体"/>
          <w:b/>
          <w:bCs w:val="0"/>
          <w:color w:val="auto"/>
          <w:sz w:val="24"/>
          <w:szCs w:val="24"/>
          <w:lang w:val="en-US" w:eastAsia="zh-CN"/>
        </w:rPr>
      </w:pPr>
      <w:r>
        <w:rPr>
          <w:rFonts w:hint="eastAsia" w:ascii="宋体" w:hAnsi="宋体" w:eastAsia="宋体" w:cs="宋体"/>
          <w:b/>
          <w:color w:val="auto"/>
          <w:sz w:val="24"/>
          <w:lang w:val="en-US" w:eastAsia="zh-CN"/>
        </w:rPr>
        <w:t xml:space="preserve">附件4-1    </w:t>
      </w:r>
      <w:r>
        <w:rPr>
          <w:rFonts w:hint="eastAsia" w:ascii="宋体" w:hAnsi="宋体" w:eastAsia="宋体" w:cs="宋体"/>
          <w:b/>
          <w:bCs w:val="0"/>
          <w:color w:val="auto"/>
          <w:sz w:val="24"/>
          <w:szCs w:val="24"/>
          <w:lang w:val="en-US" w:eastAsia="zh-CN"/>
        </w:rPr>
        <w:t>分项价格表</w:t>
      </w:r>
    </w:p>
    <w:tbl>
      <w:tblPr>
        <w:tblStyle w:val="39"/>
        <w:tblpPr w:leftFromText="180" w:rightFromText="180" w:vertAnchor="text" w:horzAnchor="page" w:tblpX="1762" w:tblpY="222"/>
        <w:tblOverlap w:val="never"/>
        <w:tblW w:w="55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5"/>
        <w:gridCol w:w="1931"/>
        <w:gridCol w:w="1809"/>
        <w:gridCol w:w="2038"/>
        <w:gridCol w:w="2135"/>
      </w:tblGrid>
      <w:tr w14:paraId="652F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781" w:type="pct"/>
            <w:vAlign w:val="center"/>
          </w:tcPr>
          <w:p w14:paraId="3ECBDE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p>
        </w:tc>
        <w:tc>
          <w:tcPr>
            <w:tcW w:w="1029" w:type="pct"/>
            <w:vAlign w:val="center"/>
          </w:tcPr>
          <w:p w14:paraId="3C63D6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高层电梯住宅</w:t>
            </w:r>
          </w:p>
        </w:tc>
        <w:tc>
          <w:tcPr>
            <w:tcW w:w="964" w:type="pct"/>
            <w:vAlign w:val="center"/>
          </w:tcPr>
          <w:p w14:paraId="658770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商业</w:t>
            </w:r>
          </w:p>
        </w:tc>
        <w:tc>
          <w:tcPr>
            <w:tcW w:w="1086" w:type="pct"/>
            <w:vAlign w:val="center"/>
          </w:tcPr>
          <w:p w14:paraId="52DB0E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装修垃圾清运费</w:t>
            </w:r>
          </w:p>
        </w:tc>
        <w:tc>
          <w:tcPr>
            <w:tcW w:w="1138" w:type="pct"/>
            <w:vAlign w:val="center"/>
          </w:tcPr>
          <w:p w14:paraId="17D2A5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eastAsia="zh-CN"/>
              </w:rPr>
              <w:t>合计</w:t>
            </w:r>
          </w:p>
        </w:tc>
      </w:tr>
      <w:tr w14:paraId="3CD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781" w:type="pct"/>
            <w:vAlign w:val="center"/>
          </w:tcPr>
          <w:p w14:paraId="25D395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投标报价</w:t>
            </w:r>
          </w:p>
        </w:tc>
        <w:tc>
          <w:tcPr>
            <w:tcW w:w="1029" w:type="pct"/>
            <w:vAlign w:val="center"/>
          </w:tcPr>
          <w:p w14:paraId="7537F5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元/㎡/月</w:t>
            </w:r>
          </w:p>
        </w:tc>
        <w:tc>
          <w:tcPr>
            <w:tcW w:w="964" w:type="pct"/>
            <w:vAlign w:val="center"/>
          </w:tcPr>
          <w:p w14:paraId="704856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元/㎡/月</w:t>
            </w:r>
          </w:p>
        </w:tc>
        <w:tc>
          <w:tcPr>
            <w:tcW w:w="1086" w:type="pct"/>
            <w:vAlign w:val="center"/>
          </w:tcPr>
          <w:p w14:paraId="31B8F0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w:t>
            </w:r>
          </w:p>
        </w:tc>
        <w:tc>
          <w:tcPr>
            <w:tcW w:w="1138" w:type="pct"/>
            <w:vAlign w:val="center"/>
          </w:tcPr>
          <w:p w14:paraId="3ABD8A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w:t>
            </w:r>
          </w:p>
        </w:tc>
      </w:tr>
      <w:tr w14:paraId="0C244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781" w:type="pct"/>
            <w:vAlign w:val="center"/>
          </w:tcPr>
          <w:p w14:paraId="4E7E25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面积</w:t>
            </w:r>
          </w:p>
        </w:tc>
        <w:tc>
          <w:tcPr>
            <w:tcW w:w="1931" w:type="dxa"/>
            <w:vAlign w:val="center"/>
          </w:tcPr>
          <w:p w14:paraId="614AE642">
            <w:pPr>
              <w:keepNext w:val="0"/>
              <w:keepLines w:val="0"/>
              <w:widowControl w:val="0"/>
              <w:suppressLineNumbers w:val="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2"/>
                <w:sz w:val="24"/>
                <w:szCs w:val="24"/>
                <w:highlight w:val="none"/>
                <w:u w:val="none"/>
                <w:lang w:val="en-US" w:eastAsia="zh-CN" w:bidi="ar"/>
              </w:rPr>
              <w:t>75552.54</w:t>
            </w:r>
            <w:r>
              <w:rPr>
                <w:rFonts w:hint="eastAsia" w:ascii="宋体" w:hAnsi="宋体" w:eastAsia="宋体" w:cs="宋体"/>
                <w:color w:val="auto"/>
                <w:sz w:val="24"/>
                <w:szCs w:val="24"/>
                <w:highlight w:val="none"/>
              </w:rPr>
              <w:t>㎡</w:t>
            </w:r>
          </w:p>
        </w:tc>
        <w:tc>
          <w:tcPr>
            <w:tcW w:w="1809" w:type="dxa"/>
            <w:vAlign w:val="center"/>
          </w:tcPr>
          <w:p w14:paraId="39F08534">
            <w:pPr>
              <w:keepNext w:val="0"/>
              <w:keepLines w:val="0"/>
              <w:widowControl w:val="0"/>
              <w:suppressLineNumbers w:val="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2"/>
                <w:sz w:val="24"/>
                <w:szCs w:val="24"/>
                <w:highlight w:val="none"/>
                <w:u w:val="none"/>
                <w:lang w:val="en-US" w:eastAsia="zh-CN" w:bidi="ar"/>
              </w:rPr>
              <w:t>4473.45</w:t>
            </w:r>
            <w:r>
              <w:rPr>
                <w:rFonts w:hint="eastAsia" w:ascii="宋体" w:hAnsi="宋体" w:eastAsia="宋体" w:cs="宋体"/>
                <w:color w:val="auto"/>
                <w:sz w:val="24"/>
                <w:szCs w:val="24"/>
                <w:highlight w:val="none"/>
              </w:rPr>
              <w:t>㎡</w:t>
            </w:r>
          </w:p>
        </w:tc>
        <w:tc>
          <w:tcPr>
            <w:tcW w:w="2038" w:type="dxa"/>
            <w:vAlign w:val="center"/>
          </w:tcPr>
          <w:p w14:paraId="0EB0681C">
            <w:pPr>
              <w:keepNext w:val="0"/>
              <w:keepLines w:val="0"/>
              <w:widowControl w:val="0"/>
              <w:suppressLineNumbers w:val="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111102.35㎡</w:t>
            </w:r>
          </w:p>
        </w:tc>
        <w:tc>
          <w:tcPr>
            <w:tcW w:w="1138" w:type="pct"/>
            <w:vAlign w:val="center"/>
          </w:tcPr>
          <w:p w14:paraId="70BD4F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r>
      <w:tr w14:paraId="5656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781" w:type="pct"/>
            <w:vAlign w:val="center"/>
          </w:tcPr>
          <w:p w14:paraId="03D3D3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首年报价</w:t>
            </w:r>
          </w:p>
        </w:tc>
        <w:tc>
          <w:tcPr>
            <w:tcW w:w="1029" w:type="pct"/>
            <w:vAlign w:val="center"/>
          </w:tcPr>
          <w:p w14:paraId="68B756CB">
            <w:pPr>
              <w:keepNext w:val="0"/>
              <w:keepLines w:val="0"/>
              <w:widowControl/>
              <w:suppressLineNumbers w:val="0"/>
              <w:jc w:val="left"/>
              <w:textAlignment w:val="center"/>
              <w:rPr>
                <w:rFonts w:hint="default"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 xml:space="preserve">          元   </w:t>
            </w:r>
          </w:p>
        </w:tc>
        <w:tc>
          <w:tcPr>
            <w:tcW w:w="964" w:type="pct"/>
            <w:vAlign w:val="center"/>
          </w:tcPr>
          <w:p w14:paraId="6442FE98">
            <w:pPr>
              <w:keepNext w:val="0"/>
              <w:keepLines w:val="0"/>
              <w:widowControl/>
              <w:suppressLineNumbers w:val="0"/>
              <w:jc w:val="left"/>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u w:val="single"/>
                <w:lang w:val="en-US" w:eastAsia="zh-CN"/>
              </w:rPr>
              <w:t xml:space="preserve">           元  </w:t>
            </w:r>
          </w:p>
        </w:tc>
        <w:tc>
          <w:tcPr>
            <w:tcW w:w="1086" w:type="pct"/>
            <w:vAlign w:val="center"/>
          </w:tcPr>
          <w:p w14:paraId="61F9D8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u w:val="single"/>
                <w:lang w:val="en-US" w:eastAsia="zh-CN"/>
              </w:rPr>
              <w:t xml:space="preserve">            元 </w:t>
            </w:r>
          </w:p>
        </w:tc>
        <w:tc>
          <w:tcPr>
            <w:tcW w:w="1138" w:type="pct"/>
            <w:vAlign w:val="center"/>
          </w:tcPr>
          <w:p w14:paraId="49F7B8B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小写：</w:t>
            </w:r>
            <w:r>
              <w:rPr>
                <w:rFonts w:hint="eastAsia" w:ascii="宋体" w:hAnsi="宋体" w:cs="宋体"/>
                <w:color w:val="auto"/>
                <w:sz w:val="24"/>
                <w:szCs w:val="24"/>
                <w:highlight w:val="none"/>
                <w:u w:val="single"/>
                <w:lang w:val="en-US" w:eastAsia="zh-CN"/>
              </w:rPr>
              <w:t xml:space="preserve">       元 </w:t>
            </w:r>
          </w:p>
          <w:p w14:paraId="4497AE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sz w:val="24"/>
                <w:szCs w:val="24"/>
                <w:highlight w:val="none"/>
                <w:lang w:val="en-US" w:eastAsia="zh-CN"/>
              </w:rPr>
            </w:pPr>
          </w:p>
          <w:p w14:paraId="66C188C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sz w:val="24"/>
                <w:szCs w:val="24"/>
                <w:highlight w:val="none"/>
                <w:lang w:val="en-US" w:eastAsia="zh-CN"/>
              </w:rPr>
            </w:pPr>
          </w:p>
          <w:p w14:paraId="054DAB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大写：</w:t>
            </w:r>
          </w:p>
          <w:p w14:paraId="35B89C0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color w:val="auto"/>
                <w:sz w:val="24"/>
                <w:szCs w:val="24"/>
                <w:highlight w:val="none"/>
                <w:lang w:val="en-US" w:eastAsia="zh-CN"/>
              </w:rPr>
            </w:pPr>
          </w:p>
        </w:tc>
      </w:tr>
    </w:tbl>
    <w:p w14:paraId="6CA1D2EE">
      <w:pPr>
        <w:pStyle w:val="2"/>
        <w:rPr>
          <w:rFonts w:hint="eastAsia" w:ascii="宋体" w:hAnsi="宋体" w:eastAsia="宋体" w:cs="宋体"/>
          <w:b/>
          <w:color w:val="auto"/>
          <w:sz w:val="24"/>
        </w:rPr>
      </w:pPr>
    </w:p>
    <w:p w14:paraId="53BE4B2F">
      <w:pPr>
        <w:rPr>
          <w:rFonts w:hint="eastAsia" w:ascii="宋体" w:hAnsi="宋体" w:eastAsia="宋体" w:cs="宋体"/>
          <w:b/>
          <w:color w:val="auto"/>
          <w:sz w:val="24"/>
        </w:rPr>
      </w:pPr>
    </w:p>
    <w:p w14:paraId="0745FA41">
      <w:pPr>
        <w:spacing w:line="360" w:lineRule="auto"/>
        <w:ind w:firstLine="495"/>
        <w:jc w:val="right"/>
        <w:rPr>
          <w:rFonts w:hint="eastAsia" w:ascii="宋体" w:hAnsi="宋体" w:eastAsia="宋体" w:cs="宋体"/>
          <w:color w:val="auto"/>
          <w:sz w:val="24"/>
        </w:rPr>
      </w:pPr>
      <w:r>
        <w:rPr>
          <w:rFonts w:hint="eastAsia" w:ascii="宋体" w:hAnsi="宋体" w:eastAsia="宋体" w:cs="宋体"/>
          <w:color w:val="auto"/>
          <w:sz w:val="24"/>
        </w:rPr>
        <w:t>投 标 人：</w:t>
      </w:r>
      <w:r>
        <w:rPr>
          <w:rFonts w:hint="eastAsia" w:ascii="宋体" w:hAnsi="宋体" w:eastAsia="宋体" w:cs="宋体"/>
          <w:color w:val="auto"/>
          <w:sz w:val="24"/>
          <w:u w:val="single"/>
        </w:rPr>
        <w:t xml:space="preserve">               （全称）                </w:t>
      </w:r>
      <w:r>
        <w:rPr>
          <w:rFonts w:hint="eastAsia" w:ascii="宋体" w:hAnsi="宋体" w:eastAsia="宋体" w:cs="宋体"/>
          <w:color w:val="auto"/>
          <w:sz w:val="24"/>
        </w:rPr>
        <w:t>（盖单位公章）</w:t>
      </w:r>
    </w:p>
    <w:p w14:paraId="7B15156B">
      <w:pPr>
        <w:spacing w:line="360" w:lineRule="auto"/>
        <w:ind w:firstLine="495"/>
        <w:jc w:val="right"/>
        <w:rPr>
          <w:rFonts w:hint="eastAsia" w:ascii="宋体" w:hAnsi="宋体" w:eastAsia="宋体" w:cs="宋体"/>
          <w:color w:val="auto"/>
          <w:sz w:val="24"/>
        </w:rPr>
      </w:pPr>
      <w:r>
        <w:rPr>
          <w:rFonts w:hint="eastAsia" w:ascii="宋体" w:hAnsi="宋体" w:eastAsia="宋体" w:cs="宋体"/>
          <w:color w:val="auto"/>
          <w:sz w:val="24"/>
        </w:rPr>
        <w:t>法定代表人或其委托代理人：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38BBDA0B">
      <w:pPr>
        <w:spacing w:line="400" w:lineRule="exact"/>
        <w:jc w:val="right"/>
        <w:rPr>
          <w:rFonts w:hint="eastAsia" w:ascii="宋体" w:hAnsi="宋体" w:eastAsia="宋体" w:cs="宋体"/>
          <w:color w:val="auto"/>
          <w:sz w:val="24"/>
        </w:rPr>
      </w:pPr>
      <w:r>
        <w:rPr>
          <w:rFonts w:hint="eastAsia" w:ascii="宋体" w:hAnsi="宋体" w:eastAsia="宋体" w:cs="宋体"/>
          <w:color w:val="auto"/>
          <w:sz w:val="24"/>
        </w:rPr>
        <w:t xml:space="preserve">                                 年   月   日</w:t>
      </w:r>
    </w:p>
    <w:p w14:paraId="72E746FA">
      <w:pPr>
        <w:pStyle w:val="2"/>
        <w:rPr>
          <w:rFonts w:hint="eastAsia" w:ascii="宋体" w:hAnsi="宋体" w:eastAsia="宋体" w:cs="宋体"/>
          <w:color w:val="auto"/>
          <w:sz w:val="24"/>
        </w:rPr>
      </w:pPr>
    </w:p>
    <w:p w14:paraId="41CDE1E6">
      <w:pPr>
        <w:rPr>
          <w:rFonts w:hint="eastAsia" w:ascii="宋体" w:hAnsi="宋体" w:eastAsia="宋体" w:cs="宋体"/>
          <w:color w:val="auto"/>
          <w:sz w:val="24"/>
        </w:rPr>
      </w:pPr>
    </w:p>
    <w:p w14:paraId="154E2497">
      <w:pPr>
        <w:pStyle w:val="2"/>
        <w:rPr>
          <w:rFonts w:hint="eastAsia" w:ascii="宋体" w:hAnsi="宋体" w:eastAsia="宋体" w:cs="宋体"/>
          <w:color w:val="auto"/>
          <w:sz w:val="24"/>
        </w:rPr>
      </w:pPr>
    </w:p>
    <w:p w14:paraId="0CE8AEDD">
      <w:pPr>
        <w:rPr>
          <w:rFonts w:hint="eastAsia" w:ascii="宋体" w:hAnsi="宋体" w:eastAsia="宋体" w:cs="宋体"/>
          <w:color w:val="auto"/>
          <w:sz w:val="24"/>
        </w:rPr>
      </w:pPr>
    </w:p>
    <w:p w14:paraId="3B125521">
      <w:pPr>
        <w:pStyle w:val="2"/>
        <w:rPr>
          <w:rFonts w:hint="eastAsia" w:ascii="宋体" w:hAnsi="宋体" w:eastAsia="宋体" w:cs="宋体"/>
          <w:color w:val="auto"/>
          <w:sz w:val="24"/>
        </w:rPr>
      </w:pPr>
    </w:p>
    <w:p w14:paraId="055CF140">
      <w:pPr>
        <w:rPr>
          <w:rFonts w:hint="eastAsia" w:ascii="宋体" w:hAnsi="宋体" w:eastAsia="宋体" w:cs="宋体"/>
          <w:color w:val="auto"/>
          <w:sz w:val="24"/>
        </w:rPr>
      </w:pPr>
    </w:p>
    <w:p w14:paraId="7F092328">
      <w:pPr>
        <w:keepNext/>
        <w:keepLines/>
        <w:widowControl w:val="0"/>
        <w:numPr>
          <w:ilvl w:val="1"/>
          <w:numId w:val="0"/>
        </w:numPr>
        <w:suppressAutoHyphens/>
        <w:spacing w:before="260" w:after="260" w:line="600" w:lineRule="exact"/>
        <w:ind w:left="1380" w:hanging="420"/>
        <w:jc w:val="center"/>
        <w:textAlignment w:val="baseline"/>
        <w:outlineLvl w:val="1"/>
        <w:rPr>
          <w:rFonts w:hint="eastAsia" w:ascii="宋体" w:hAnsi="宋体" w:eastAsia="宋体" w:cs="宋体"/>
          <w:b/>
          <w:bCs/>
          <w:color w:val="auto"/>
          <w:w w:val="100"/>
          <w:kern w:val="32"/>
          <w:sz w:val="32"/>
          <w:szCs w:val="32"/>
          <w:lang w:val="en-US" w:eastAsia="zh-CN" w:bidi="ar-SA"/>
        </w:rPr>
      </w:pPr>
      <w:bookmarkStart w:id="258" w:name="_Toc30227"/>
      <w:bookmarkStart w:id="259" w:name="_Toc4665"/>
      <w:bookmarkStart w:id="260" w:name="_Toc2684"/>
      <w:bookmarkStart w:id="261" w:name="_Toc27566"/>
      <w:bookmarkStart w:id="262" w:name="_Toc16322"/>
      <w:bookmarkStart w:id="263" w:name="_Toc8688"/>
      <w:r>
        <w:rPr>
          <w:rFonts w:hint="eastAsia" w:ascii="宋体" w:hAnsi="宋体" w:eastAsia="宋体" w:cs="宋体"/>
          <w:b/>
          <w:bCs/>
          <w:color w:val="auto"/>
          <w:w w:val="100"/>
          <w:kern w:val="32"/>
          <w:sz w:val="32"/>
          <w:szCs w:val="32"/>
          <w:lang w:val="en-US" w:eastAsia="zh-CN" w:bidi="ar-SA"/>
        </w:rPr>
        <w:t>五、投标承诺书</w:t>
      </w:r>
      <w:bookmarkEnd w:id="258"/>
      <w:bookmarkEnd w:id="259"/>
      <w:bookmarkEnd w:id="260"/>
      <w:bookmarkEnd w:id="261"/>
      <w:bookmarkEnd w:id="262"/>
      <w:bookmarkEnd w:id="263"/>
    </w:p>
    <w:p w14:paraId="4DCE033E">
      <w:pPr>
        <w:rPr>
          <w:rFonts w:hint="eastAsia" w:ascii="宋体" w:hAnsi="宋体" w:eastAsia="宋体" w:cs="宋体"/>
          <w:color w:val="auto"/>
        </w:rPr>
      </w:pPr>
    </w:p>
    <w:p w14:paraId="03F48DFF">
      <w:pPr>
        <w:spacing w:line="360" w:lineRule="auto"/>
        <w:jc w:val="left"/>
        <w:rPr>
          <w:rFonts w:hint="eastAsia" w:ascii="宋体" w:hAnsi="宋体" w:eastAsia="宋体" w:cs="宋体"/>
          <w:color w:val="auto"/>
          <w:sz w:val="24"/>
          <w:lang w:val="sq-AL"/>
        </w:rPr>
      </w:pPr>
      <w:r>
        <w:rPr>
          <w:rFonts w:hint="eastAsia" w:ascii="宋体" w:hAnsi="宋体" w:eastAsia="宋体" w:cs="宋体"/>
          <w:color w:val="auto"/>
          <w:sz w:val="24"/>
          <w:lang w:val="sq-AL"/>
        </w:rPr>
        <w:t>（招标人）</w:t>
      </w:r>
      <w:r>
        <w:rPr>
          <w:rFonts w:hint="eastAsia" w:ascii="宋体" w:hAnsi="宋体" w:cs="宋体"/>
          <w:color w:val="auto"/>
          <w:sz w:val="24"/>
          <w:u w:val="single"/>
          <w:lang w:val="en-US" w:eastAsia="zh-CN"/>
        </w:rPr>
        <w:t xml:space="preserve">        </w:t>
      </w:r>
      <w:r>
        <w:rPr>
          <w:rFonts w:hint="eastAsia" w:ascii="宋体" w:hAnsi="宋体" w:eastAsia="宋体" w:cs="宋体"/>
          <w:color w:val="auto"/>
          <w:sz w:val="24"/>
          <w:lang w:val="sq-AL"/>
        </w:rPr>
        <w:t>：</w:t>
      </w:r>
    </w:p>
    <w:p w14:paraId="1BADF9F9">
      <w:pPr>
        <w:spacing w:line="360" w:lineRule="auto"/>
        <w:ind w:firstLine="480" w:firstLineChars="200"/>
        <w:jc w:val="left"/>
        <w:rPr>
          <w:rFonts w:hint="eastAsia" w:ascii="宋体" w:hAnsi="宋体" w:eastAsia="宋体" w:cs="宋体"/>
          <w:color w:val="auto"/>
          <w:sz w:val="24"/>
          <w:lang w:val="sq-AL"/>
        </w:rPr>
      </w:pPr>
      <w:r>
        <w:rPr>
          <w:rFonts w:hint="eastAsia" w:ascii="宋体" w:hAnsi="宋体" w:eastAsia="宋体" w:cs="宋体"/>
          <w:color w:val="auto"/>
          <w:sz w:val="24"/>
          <w:lang w:val="sq-AL"/>
        </w:rPr>
        <w:t>为了充分体现公平竞争、诚信投标行为，我单位对参与</w:t>
      </w:r>
      <w:r>
        <w:rPr>
          <w:rFonts w:hint="eastAsia" w:ascii="宋体" w:hAnsi="宋体" w:eastAsia="宋体" w:cs="宋体"/>
          <w:color w:val="auto"/>
          <w:sz w:val="24"/>
          <w:u w:val="single"/>
          <w:lang w:val="sq-AL"/>
        </w:rPr>
        <w:t xml:space="preserve">                      </w:t>
      </w:r>
      <w:r>
        <w:rPr>
          <w:rFonts w:hint="eastAsia" w:ascii="宋体" w:hAnsi="宋体" w:eastAsia="宋体" w:cs="宋体"/>
          <w:color w:val="auto"/>
          <w:sz w:val="24"/>
          <w:lang w:val="sq-AL"/>
        </w:rPr>
        <w:t>项目的投标作出如下承诺：</w:t>
      </w:r>
    </w:p>
    <w:p w14:paraId="0750AE68">
      <w:pPr>
        <w:spacing w:line="360" w:lineRule="auto"/>
        <w:ind w:firstLine="360" w:firstLineChars="150"/>
        <w:jc w:val="left"/>
        <w:rPr>
          <w:rFonts w:hint="eastAsia" w:ascii="宋体" w:hAnsi="宋体" w:eastAsia="宋体" w:cs="宋体"/>
          <w:color w:val="auto"/>
          <w:sz w:val="24"/>
          <w:lang w:val="sq-AL"/>
        </w:rPr>
      </w:pPr>
      <w:r>
        <w:rPr>
          <w:rFonts w:hint="eastAsia" w:ascii="宋体" w:hAnsi="宋体" w:eastAsia="宋体" w:cs="宋体"/>
          <w:color w:val="auto"/>
          <w:sz w:val="24"/>
          <w:lang w:val="sq-AL"/>
        </w:rPr>
        <w:t>1、严格遵守国家【招标投标法】及相关法律、法规，没有围标、串标、资质挂靠等违法、违规行为，投标文件所投入的管理、技术人员均为我公司正式在职人员；</w:t>
      </w:r>
    </w:p>
    <w:p w14:paraId="12FA87BB">
      <w:pPr>
        <w:spacing w:line="360" w:lineRule="auto"/>
        <w:ind w:firstLine="360" w:firstLineChars="150"/>
        <w:jc w:val="left"/>
        <w:rPr>
          <w:rFonts w:hint="eastAsia" w:ascii="宋体" w:hAnsi="宋体" w:eastAsia="宋体" w:cs="宋体"/>
          <w:color w:val="auto"/>
          <w:sz w:val="24"/>
          <w:lang w:val="sq-AL"/>
        </w:rPr>
      </w:pPr>
      <w:r>
        <w:rPr>
          <w:rFonts w:hint="eastAsia" w:ascii="宋体" w:hAnsi="宋体" w:eastAsia="宋体" w:cs="宋体"/>
          <w:color w:val="auto"/>
          <w:sz w:val="24"/>
          <w:lang w:val="sq-AL"/>
        </w:rPr>
        <w:t>2、提供的资质、业绩等证明材料真实、合法、有效；</w:t>
      </w:r>
    </w:p>
    <w:p w14:paraId="016F4917">
      <w:pPr>
        <w:spacing w:line="360" w:lineRule="auto"/>
        <w:ind w:firstLine="360" w:firstLineChars="150"/>
        <w:jc w:val="left"/>
        <w:rPr>
          <w:rFonts w:hint="eastAsia" w:ascii="宋体" w:hAnsi="宋体" w:eastAsia="宋体" w:cs="宋体"/>
          <w:color w:val="auto"/>
          <w:sz w:val="24"/>
          <w:lang w:val="sq-AL"/>
        </w:rPr>
      </w:pPr>
      <w:r>
        <w:rPr>
          <w:rFonts w:hint="eastAsia" w:ascii="宋体" w:hAnsi="宋体" w:eastAsia="宋体" w:cs="宋体"/>
          <w:color w:val="auto"/>
          <w:sz w:val="24"/>
          <w:lang w:val="sq-AL"/>
        </w:rPr>
        <w:t>3、不参与不正当竞争，不向招标人、招标代理机构、评标专家以及行业监督部门行贿以谋取不正当利益；</w:t>
      </w:r>
    </w:p>
    <w:p w14:paraId="45F800BE">
      <w:pPr>
        <w:spacing w:line="360" w:lineRule="auto"/>
        <w:ind w:firstLine="360" w:firstLineChars="150"/>
        <w:jc w:val="left"/>
        <w:rPr>
          <w:rFonts w:hint="eastAsia" w:ascii="宋体" w:hAnsi="宋体" w:eastAsia="宋体" w:cs="宋体"/>
          <w:color w:val="auto"/>
          <w:sz w:val="24"/>
          <w:lang w:val="sq-AL"/>
        </w:rPr>
      </w:pPr>
      <w:r>
        <w:rPr>
          <w:rFonts w:hint="eastAsia" w:ascii="宋体" w:hAnsi="宋体" w:eastAsia="宋体" w:cs="宋体"/>
          <w:color w:val="auto"/>
          <w:sz w:val="24"/>
          <w:lang w:val="sq-AL"/>
        </w:rPr>
        <w:t>4、严格按照招、投标文件约定签订合同；</w:t>
      </w:r>
    </w:p>
    <w:p w14:paraId="71163C52">
      <w:pPr>
        <w:spacing w:line="360" w:lineRule="auto"/>
        <w:ind w:firstLine="360" w:firstLineChars="150"/>
        <w:jc w:val="left"/>
        <w:rPr>
          <w:rFonts w:hint="eastAsia" w:ascii="宋体" w:hAnsi="宋体" w:eastAsia="宋体" w:cs="宋体"/>
          <w:color w:val="auto"/>
          <w:sz w:val="24"/>
          <w:lang w:val="sq-AL"/>
        </w:rPr>
      </w:pPr>
      <w:r>
        <w:rPr>
          <w:rFonts w:hint="eastAsia" w:ascii="宋体" w:hAnsi="宋体" w:eastAsia="宋体" w:cs="宋体"/>
          <w:color w:val="auto"/>
          <w:sz w:val="24"/>
          <w:lang w:val="sq-AL"/>
        </w:rPr>
        <w:t>5、主动接受行业监督部门、业主及社会各界的监督，如有违反，接受相应处罚，直至被追究法律责任；</w:t>
      </w:r>
    </w:p>
    <w:p w14:paraId="32E9E356">
      <w:pPr>
        <w:spacing w:line="360" w:lineRule="auto"/>
        <w:ind w:firstLine="360" w:firstLineChars="150"/>
        <w:jc w:val="left"/>
        <w:rPr>
          <w:rFonts w:hint="eastAsia" w:ascii="宋体" w:hAnsi="宋体" w:eastAsia="宋体" w:cs="宋体"/>
          <w:color w:val="auto"/>
          <w:sz w:val="24"/>
          <w:lang w:val="sq-AL"/>
        </w:rPr>
      </w:pPr>
      <w:r>
        <w:rPr>
          <w:rFonts w:hint="eastAsia" w:ascii="宋体" w:hAnsi="宋体" w:eastAsia="宋体" w:cs="宋体"/>
          <w:color w:val="auto"/>
          <w:sz w:val="24"/>
          <w:lang w:val="sq-AL"/>
        </w:rPr>
        <w:t>6、对项目情况及建筑物权属性质已知晓，中标后不得要求招标人或合同签订甲方配合办理任何与其经营相关的经营手续及证照；</w:t>
      </w:r>
    </w:p>
    <w:p w14:paraId="669B6897">
      <w:pPr>
        <w:spacing w:line="360" w:lineRule="auto"/>
        <w:ind w:firstLine="360" w:firstLineChars="150"/>
        <w:jc w:val="left"/>
        <w:rPr>
          <w:rFonts w:hint="eastAsia" w:ascii="宋体" w:hAnsi="宋体" w:eastAsia="宋体" w:cs="宋体"/>
          <w:color w:val="auto"/>
          <w:sz w:val="24"/>
          <w:lang w:val="sq-AL"/>
        </w:rPr>
      </w:pPr>
      <w:r>
        <w:rPr>
          <w:rFonts w:hint="eastAsia" w:ascii="宋体" w:hAnsi="宋体" w:eastAsia="宋体" w:cs="宋体"/>
          <w:color w:val="auto"/>
          <w:sz w:val="24"/>
          <w:lang w:val="sq-AL"/>
        </w:rPr>
        <w:t>7、按照投标文件中维护方案对经营范围内实施维护及修缮。</w:t>
      </w:r>
    </w:p>
    <w:p w14:paraId="0725AFD2">
      <w:pPr>
        <w:spacing w:line="360" w:lineRule="auto"/>
        <w:ind w:firstLine="361" w:firstLineChars="150"/>
        <w:jc w:val="left"/>
        <w:rPr>
          <w:rFonts w:hint="eastAsia" w:ascii="宋体" w:hAnsi="宋体" w:eastAsia="宋体" w:cs="宋体"/>
          <w:b/>
          <w:bCs/>
          <w:color w:val="auto"/>
          <w:sz w:val="24"/>
        </w:rPr>
      </w:pPr>
    </w:p>
    <w:p w14:paraId="2F18462A">
      <w:pPr>
        <w:spacing w:line="360" w:lineRule="auto"/>
        <w:jc w:val="left"/>
        <w:rPr>
          <w:rFonts w:hint="eastAsia" w:ascii="宋体" w:hAnsi="宋体" w:eastAsia="宋体" w:cs="宋体"/>
          <w:color w:val="auto"/>
          <w:sz w:val="24"/>
          <w:lang w:val="sq-AL"/>
        </w:rPr>
      </w:pPr>
    </w:p>
    <w:p w14:paraId="330A4471">
      <w:pPr>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lang w:val="sq-AL"/>
        </w:rPr>
      </w:pPr>
    </w:p>
    <w:p w14:paraId="7CBE54DA">
      <w:pPr>
        <w:pageBreakBefore w:val="0"/>
        <w:widowControl w:val="0"/>
        <w:kinsoku/>
        <w:wordWrap/>
        <w:overflowPunct/>
        <w:topLinePunct w:val="0"/>
        <w:autoSpaceDE/>
        <w:autoSpaceDN/>
        <w:bidi w:val="0"/>
        <w:adjustRightInd/>
        <w:snapToGrid/>
        <w:spacing w:line="360" w:lineRule="auto"/>
        <w:ind w:firstLine="360" w:firstLineChars="150"/>
        <w:jc w:val="left"/>
        <w:textAlignment w:val="auto"/>
        <w:outlineLvl w:val="9"/>
        <w:rPr>
          <w:rFonts w:hint="eastAsia" w:ascii="宋体" w:hAnsi="宋体" w:eastAsia="宋体" w:cs="宋体"/>
          <w:color w:val="auto"/>
          <w:sz w:val="24"/>
          <w:lang w:val="sq-AL"/>
        </w:rPr>
      </w:pPr>
      <w:r>
        <w:rPr>
          <w:rFonts w:hint="eastAsia" w:ascii="宋体" w:hAnsi="宋体" w:eastAsia="宋体" w:cs="宋体"/>
          <w:color w:val="auto"/>
          <w:sz w:val="24"/>
          <w:lang w:val="sq-AL"/>
        </w:rPr>
        <w:t>承诺单位（盖章）       法定代表人（</w:t>
      </w:r>
      <w:r>
        <w:rPr>
          <w:rFonts w:hint="eastAsia" w:ascii="宋体" w:hAnsi="宋体" w:eastAsia="宋体" w:cs="宋体"/>
          <w:color w:val="auto"/>
          <w:sz w:val="24"/>
          <w:lang w:val="en-US" w:eastAsia="zh-CN"/>
        </w:rPr>
        <w:t>签字或盖章</w:t>
      </w:r>
      <w:r>
        <w:rPr>
          <w:rFonts w:hint="eastAsia" w:ascii="宋体" w:hAnsi="宋体" w:eastAsia="宋体" w:cs="宋体"/>
          <w:color w:val="auto"/>
          <w:sz w:val="24"/>
          <w:lang w:val="sq-AL"/>
        </w:rPr>
        <w:t>）</w:t>
      </w:r>
    </w:p>
    <w:p w14:paraId="1B1F095B">
      <w:pPr>
        <w:pageBreakBefore w:val="0"/>
        <w:widowControl w:val="0"/>
        <w:kinsoku/>
        <w:wordWrap/>
        <w:overflowPunct/>
        <w:topLinePunct w:val="0"/>
        <w:autoSpaceDE/>
        <w:autoSpaceDN/>
        <w:bidi w:val="0"/>
        <w:adjustRightInd/>
        <w:snapToGrid/>
        <w:spacing w:line="360" w:lineRule="auto"/>
        <w:ind w:firstLine="360" w:firstLineChars="150"/>
        <w:jc w:val="left"/>
        <w:textAlignment w:val="auto"/>
        <w:outlineLvl w:val="9"/>
        <w:rPr>
          <w:rFonts w:hint="eastAsia" w:ascii="宋体" w:hAnsi="宋体" w:eastAsia="宋体" w:cs="宋体"/>
          <w:color w:val="auto"/>
          <w:sz w:val="24"/>
          <w:lang w:val="sq-AL"/>
        </w:rPr>
      </w:pPr>
      <w:r>
        <w:rPr>
          <w:rFonts w:hint="eastAsia" w:ascii="宋体" w:hAnsi="宋体" w:eastAsia="宋体" w:cs="宋体"/>
          <w:color w:val="auto"/>
          <w:sz w:val="24"/>
          <w:lang w:val="sq-AL"/>
        </w:rPr>
        <w:t xml:space="preserve">联系电话（手机号码）：                              </w:t>
      </w:r>
    </w:p>
    <w:p w14:paraId="3AF81510">
      <w:pPr>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color w:val="auto"/>
          <w:sz w:val="24"/>
        </w:rPr>
      </w:pPr>
      <w:r>
        <w:rPr>
          <w:rFonts w:hint="eastAsia" w:ascii="宋体" w:hAnsi="宋体" w:eastAsia="宋体" w:cs="宋体"/>
          <w:color w:val="auto"/>
          <w:sz w:val="24"/>
          <w:lang w:val="sq-AL"/>
        </w:rPr>
        <w:t>年   月   日</w:t>
      </w:r>
    </w:p>
    <w:p w14:paraId="1857AAD4">
      <w:pPr>
        <w:rPr>
          <w:rFonts w:hint="eastAsia" w:ascii="宋体" w:hAnsi="宋体" w:eastAsia="宋体" w:cs="宋体"/>
          <w:color w:val="auto"/>
          <w:sz w:val="24"/>
        </w:rPr>
      </w:pPr>
    </w:p>
    <w:p w14:paraId="18E8833C">
      <w:pPr>
        <w:pStyle w:val="2"/>
        <w:rPr>
          <w:rFonts w:hint="eastAsia" w:ascii="宋体" w:hAnsi="宋体" w:eastAsia="宋体" w:cs="宋体"/>
          <w:color w:val="auto"/>
          <w:sz w:val="24"/>
        </w:rPr>
      </w:pPr>
    </w:p>
    <w:p w14:paraId="7D17BC5E">
      <w:pPr>
        <w:rPr>
          <w:rFonts w:hint="eastAsia" w:ascii="宋体" w:hAnsi="宋体" w:eastAsia="宋体" w:cs="宋体"/>
          <w:color w:val="auto"/>
          <w:sz w:val="24"/>
        </w:rPr>
      </w:pPr>
    </w:p>
    <w:p w14:paraId="53B56B52">
      <w:pPr>
        <w:rPr>
          <w:rFonts w:hint="eastAsia" w:ascii="宋体" w:hAnsi="宋体" w:eastAsia="宋体" w:cs="宋体"/>
          <w:color w:val="auto"/>
          <w:sz w:val="24"/>
        </w:rPr>
      </w:pPr>
    </w:p>
    <w:bookmarkEnd w:id="255"/>
    <w:p w14:paraId="49B21C2E">
      <w:pPr>
        <w:pStyle w:val="3"/>
        <w:numPr>
          <w:ilvl w:val="1"/>
          <w:numId w:val="0"/>
        </w:numPr>
        <w:spacing w:line="600" w:lineRule="exact"/>
        <w:jc w:val="center"/>
        <w:rPr>
          <w:rFonts w:hint="eastAsia" w:ascii="宋体" w:hAnsi="宋体" w:eastAsia="宋体" w:cs="宋体"/>
          <w:bCs w:val="0"/>
          <w:color w:val="auto"/>
          <w:kern w:val="32"/>
          <w:sz w:val="24"/>
        </w:rPr>
      </w:pPr>
      <w:bookmarkStart w:id="264" w:name="_Toc31167"/>
      <w:bookmarkStart w:id="265" w:name="_Toc19346"/>
      <w:bookmarkStart w:id="266" w:name="_Toc6323"/>
      <w:bookmarkStart w:id="267" w:name="_Toc14193"/>
      <w:bookmarkStart w:id="268" w:name="_Toc31866"/>
      <w:bookmarkStart w:id="269" w:name="_Toc5275"/>
      <w:r>
        <w:rPr>
          <w:rFonts w:hint="eastAsia" w:ascii="宋体" w:hAnsi="宋体" w:eastAsia="宋体" w:cs="宋体"/>
          <w:color w:val="auto"/>
          <w:w w:val="100"/>
          <w:kern w:val="32"/>
        </w:rPr>
        <w:t>六、拟投入本项目的人员情况表</w:t>
      </w:r>
      <w:bookmarkEnd w:id="256"/>
      <w:bookmarkEnd w:id="264"/>
      <w:bookmarkEnd w:id="265"/>
      <w:bookmarkEnd w:id="266"/>
      <w:bookmarkEnd w:id="267"/>
      <w:bookmarkEnd w:id="268"/>
      <w:bookmarkEnd w:id="269"/>
    </w:p>
    <w:tbl>
      <w:tblPr>
        <w:tblStyle w:val="3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1"/>
        <w:gridCol w:w="2054"/>
        <w:gridCol w:w="1259"/>
        <w:gridCol w:w="1204"/>
        <w:gridCol w:w="961"/>
        <w:gridCol w:w="961"/>
        <w:gridCol w:w="959"/>
        <w:gridCol w:w="1164"/>
      </w:tblGrid>
      <w:tr w14:paraId="512F48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17" w:hRule="atLeast"/>
          <w:jc w:val="center"/>
        </w:trPr>
        <w:tc>
          <w:tcPr>
            <w:tcW w:w="931" w:type="dxa"/>
            <w:vMerge w:val="restart"/>
            <w:vAlign w:val="center"/>
          </w:tcPr>
          <w:p w14:paraId="6F2712C4">
            <w:pPr>
              <w:jc w:val="center"/>
              <w:rPr>
                <w:rFonts w:hint="eastAsia" w:ascii="宋体" w:hAnsi="宋体" w:eastAsia="宋体" w:cs="宋体"/>
                <w:color w:val="auto"/>
                <w:kern w:val="0"/>
                <w:sz w:val="24"/>
              </w:rPr>
            </w:pPr>
            <w:r>
              <w:rPr>
                <w:rFonts w:hint="eastAsia" w:ascii="宋体" w:hAnsi="宋体" w:eastAsia="宋体" w:cs="宋体"/>
                <w:color w:val="auto"/>
                <w:kern w:val="0"/>
                <w:sz w:val="24"/>
              </w:rPr>
              <w:t>序号</w:t>
            </w:r>
          </w:p>
        </w:tc>
        <w:tc>
          <w:tcPr>
            <w:tcW w:w="2054" w:type="dxa"/>
            <w:vMerge w:val="restart"/>
            <w:vAlign w:val="center"/>
          </w:tcPr>
          <w:p w14:paraId="6D8EE235">
            <w:pPr>
              <w:jc w:val="center"/>
              <w:rPr>
                <w:rFonts w:hint="eastAsia" w:ascii="宋体" w:hAnsi="宋体" w:eastAsia="宋体" w:cs="宋体"/>
                <w:color w:val="auto"/>
                <w:kern w:val="0"/>
                <w:sz w:val="24"/>
              </w:rPr>
            </w:pPr>
            <w:r>
              <w:rPr>
                <w:rFonts w:hint="eastAsia" w:ascii="宋体" w:hAnsi="宋体" w:eastAsia="宋体" w:cs="宋体"/>
                <w:color w:val="auto"/>
                <w:kern w:val="0"/>
                <w:sz w:val="24"/>
              </w:rPr>
              <w:t>部门</w:t>
            </w:r>
          </w:p>
        </w:tc>
        <w:tc>
          <w:tcPr>
            <w:tcW w:w="1259" w:type="dxa"/>
            <w:vMerge w:val="restart"/>
            <w:vAlign w:val="center"/>
          </w:tcPr>
          <w:p w14:paraId="1E87AC13">
            <w:pPr>
              <w:jc w:val="center"/>
              <w:rPr>
                <w:rFonts w:hint="eastAsia" w:ascii="宋体" w:hAnsi="宋体" w:eastAsia="宋体" w:cs="宋体"/>
                <w:color w:val="auto"/>
                <w:kern w:val="0"/>
                <w:sz w:val="24"/>
              </w:rPr>
            </w:pPr>
            <w:r>
              <w:rPr>
                <w:rFonts w:hint="eastAsia" w:ascii="宋体" w:hAnsi="宋体" w:eastAsia="宋体" w:cs="宋体"/>
                <w:color w:val="auto"/>
                <w:kern w:val="0"/>
                <w:sz w:val="24"/>
              </w:rPr>
              <w:t>职能</w:t>
            </w:r>
          </w:p>
        </w:tc>
        <w:tc>
          <w:tcPr>
            <w:tcW w:w="5249" w:type="dxa"/>
            <w:gridSpan w:val="5"/>
            <w:vAlign w:val="center"/>
          </w:tcPr>
          <w:p w14:paraId="5FCC1DDC">
            <w:pPr>
              <w:jc w:val="center"/>
              <w:rPr>
                <w:rFonts w:hint="eastAsia" w:ascii="宋体" w:hAnsi="宋体" w:eastAsia="宋体" w:cs="宋体"/>
                <w:color w:val="auto"/>
                <w:kern w:val="0"/>
                <w:sz w:val="24"/>
              </w:rPr>
            </w:pPr>
            <w:r>
              <w:rPr>
                <w:rFonts w:hint="eastAsia" w:ascii="宋体" w:hAnsi="宋体" w:eastAsia="宋体" w:cs="宋体"/>
                <w:color w:val="auto"/>
                <w:kern w:val="0"/>
                <w:sz w:val="24"/>
              </w:rPr>
              <w:t>负责人</w:t>
            </w:r>
          </w:p>
        </w:tc>
      </w:tr>
      <w:tr w14:paraId="23AA12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931" w:type="dxa"/>
            <w:vMerge w:val="continue"/>
          </w:tcPr>
          <w:p w14:paraId="79FFBD09">
            <w:pPr>
              <w:jc w:val="center"/>
              <w:rPr>
                <w:rFonts w:hint="eastAsia" w:ascii="宋体" w:hAnsi="宋体" w:eastAsia="宋体" w:cs="宋体"/>
                <w:color w:val="auto"/>
                <w:kern w:val="0"/>
                <w:sz w:val="24"/>
              </w:rPr>
            </w:pPr>
          </w:p>
        </w:tc>
        <w:tc>
          <w:tcPr>
            <w:tcW w:w="2054" w:type="dxa"/>
            <w:vMerge w:val="continue"/>
          </w:tcPr>
          <w:p w14:paraId="0BFA180B">
            <w:pPr>
              <w:jc w:val="center"/>
              <w:rPr>
                <w:rFonts w:hint="eastAsia" w:ascii="宋体" w:hAnsi="宋体" w:eastAsia="宋体" w:cs="宋体"/>
                <w:color w:val="auto"/>
                <w:kern w:val="0"/>
                <w:sz w:val="24"/>
              </w:rPr>
            </w:pPr>
          </w:p>
        </w:tc>
        <w:tc>
          <w:tcPr>
            <w:tcW w:w="1259" w:type="dxa"/>
            <w:vMerge w:val="continue"/>
          </w:tcPr>
          <w:p w14:paraId="6FB60B0F">
            <w:pPr>
              <w:jc w:val="center"/>
              <w:rPr>
                <w:rFonts w:hint="eastAsia" w:ascii="宋体" w:hAnsi="宋体" w:eastAsia="宋体" w:cs="宋体"/>
                <w:color w:val="auto"/>
                <w:kern w:val="0"/>
                <w:sz w:val="24"/>
              </w:rPr>
            </w:pPr>
          </w:p>
        </w:tc>
        <w:tc>
          <w:tcPr>
            <w:tcW w:w="1204" w:type="dxa"/>
            <w:vAlign w:val="center"/>
          </w:tcPr>
          <w:p w14:paraId="6E27F1F5">
            <w:pPr>
              <w:jc w:val="center"/>
              <w:rPr>
                <w:rFonts w:hint="eastAsia" w:ascii="宋体" w:hAnsi="宋体" w:eastAsia="宋体" w:cs="宋体"/>
                <w:color w:val="auto"/>
                <w:kern w:val="0"/>
                <w:sz w:val="24"/>
              </w:rPr>
            </w:pPr>
            <w:r>
              <w:rPr>
                <w:rFonts w:hint="eastAsia" w:ascii="宋体" w:hAnsi="宋体" w:eastAsia="宋体" w:cs="宋体"/>
                <w:color w:val="auto"/>
                <w:kern w:val="0"/>
                <w:sz w:val="24"/>
              </w:rPr>
              <w:t>姓名</w:t>
            </w:r>
          </w:p>
        </w:tc>
        <w:tc>
          <w:tcPr>
            <w:tcW w:w="961" w:type="dxa"/>
            <w:vAlign w:val="center"/>
          </w:tcPr>
          <w:p w14:paraId="559505F4">
            <w:pPr>
              <w:jc w:val="center"/>
              <w:rPr>
                <w:rFonts w:hint="eastAsia" w:ascii="宋体" w:hAnsi="宋体" w:eastAsia="宋体" w:cs="宋体"/>
                <w:color w:val="auto"/>
                <w:kern w:val="0"/>
                <w:sz w:val="24"/>
              </w:rPr>
            </w:pPr>
            <w:r>
              <w:rPr>
                <w:rFonts w:hint="eastAsia" w:ascii="宋体" w:hAnsi="宋体" w:eastAsia="宋体" w:cs="宋体"/>
                <w:color w:val="auto"/>
                <w:kern w:val="0"/>
                <w:sz w:val="24"/>
              </w:rPr>
              <w:t>年龄</w:t>
            </w:r>
          </w:p>
        </w:tc>
        <w:tc>
          <w:tcPr>
            <w:tcW w:w="961" w:type="dxa"/>
            <w:vAlign w:val="center"/>
          </w:tcPr>
          <w:p w14:paraId="66417DFD">
            <w:pPr>
              <w:jc w:val="center"/>
              <w:rPr>
                <w:rFonts w:hint="eastAsia" w:ascii="宋体" w:hAnsi="宋体" w:eastAsia="宋体" w:cs="宋体"/>
                <w:color w:val="auto"/>
                <w:kern w:val="0"/>
                <w:sz w:val="24"/>
              </w:rPr>
            </w:pPr>
            <w:r>
              <w:rPr>
                <w:rFonts w:hint="eastAsia" w:ascii="宋体" w:hAnsi="宋体" w:eastAsia="宋体" w:cs="宋体"/>
                <w:color w:val="auto"/>
                <w:kern w:val="0"/>
                <w:sz w:val="24"/>
              </w:rPr>
              <w:t>文化</w:t>
            </w:r>
          </w:p>
          <w:p w14:paraId="5456F0F8">
            <w:pPr>
              <w:jc w:val="center"/>
              <w:rPr>
                <w:rFonts w:hint="eastAsia" w:ascii="宋体" w:hAnsi="宋体" w:eastAsia="宋体" w:cs="宋体"/>
                <w:color w:val="auto"/>
                <w:kern w:val="0"/>
                <w:sz w:val="24"/>
              </w:rPr>
            </w:pPr>
            <w:r>
              <w:rPr>
                <w:rFonts w:hint="eastAsia" w:ascii="宋体" w:hAnsi="宋体" w:eastAsia="宋体" w:cs="宋体"/>
                <w:color w:val="auto"/>
                <w:kern w:val="0"/>
                <w:sz w:val="24"/>
              </w:rPr>
              <w:t>程度</w:t>
            </w:r>
          </w:p>
        </w:tc>
        <w:tc>
          <w:tcPr>
            <w:tcW w:w="959" w:type="dxa"/>
            <w:vAlign w:val="center"/>
          </w:tcPr>
          <w:p w14:paraId="5DD52710">
            <w:pPr>
              <w:jc w:val="center"/>
              <w:rPr>
                <w:rFonts w:hint="eastAsia" w:ascii="宋体" w:hAnsi="宋体" w:eastAsia="宋体" w:cs="宋体"/>
                <w:color w:val="auto"/>
                <w:kern w:val="0"/>
                <w:sz w:val="24"/>
              </w:rPr>
            </w:pPr>
            <w:r>
              <w:rPr>
                <w:rFonts w:hint="eastAsia" w:ascii="宋体" w:hAnsi="宋体" w:eastAsia="宋体" w:cs="宋体"/>
                <w:color w:val="auto"/>
                <w:kern w:val="0"/>
                <w:sz w:val="24"/>
              </w:rPr>
              <w:t>职称</w:t>
            </w:r>
          </w:p>
        </w:tc>
        <w:tc>
          <w:tcPr>
            <w:tcW w:w="1164" w:type="dxa"/>
            <w:vAlign w:val="center"/>
          </w:tcPr>
          <w:p w14:paraId="62CFEEFE">
            <w:pPr>
              <w:jc w:val="center"/>
              <w:rPr>
                <w:rFonts w:hint="eastAsia" w:ascii="宋体" w:hAnsi="宋体" w:eastAsia="宋体" w:cs="宋体"/>
                <w:color w:val="auto"/>
                <w:kern w:val="0"/>
                <w:sz w:val="24"/>
              </w:rPr>
            </w:pPr>
            <w:r>
              <w:rPr>
                <w:rFonts w:hint="eastAsia" w:ascii="宋体" w:hAnsi="宋体" w:eastAsia="宋体" w:cs="宋体"/>
                <w:color w:val="auto"/>
                <w:kern w:val="0"/>
                <w:sz w:val="24"/>
              </w:rPr>
              <w:t>从业</w:t>
            </w:r>
          </w:p>
          <w:p w14:paraId="64A7AB68">
            <w:pPr>
              <w:jc w:val="center"/>
              <w:rPr>
                <w:rFonts w:hint="eastAsia" w:ascii="宋体" w:hAnsi="宋体" w:eastAsia="宋体" w:cs="宋体"/>
                <w:color w:val="auto"/>
                <w:kern w:val="0"/>
                <w:sz w:val="24"/>
              </w:rPr>
            </w:pPr>
            <w:r>
              <w:rPr>
                <w:rFonts w:hint="eastAsia" w:ascii="宋体" w:hAnsi="宋体" w:eastAsia="宋体" w:cs="宋体"/>
                <w:color w:val="auto"/>
                <w:kern w:val="0"/>
                <w:sz w:val="24"/>
              </w:rPr>
              <w:t>年限</w:t>
            </w:r>
          </w:p>
        </w:tc>
      </w:tr>
      <w:tr w14:paraId="27CC94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4BC881DB">
            <w:pPr>
              <w:jc w:val="center"/>
              <w:rPr>
                <w:rFonts w:hint="eastAsia" w:ascii="宋体" w:hAnsi="宋体" w:eastAsia="宋体" w:cs="宋体"/>
                <w:color w:val="auto"/>
                <w:kern w:val="0"/>
              </w:rPr>
            </w:pPr>
          </w:p>
        </w:tc>
        <w:tc>
          <w:tcPr>
            <w:tcW w:w="2054" w:type="dxa"/>
          </w:tcPr>
          <w:p w14:paraId="218470C1">
            <w:pPr>
              <w:jc w:val="center"/>
              <w:rPr>
                <w:rFonts w:hint="eastAsia" w:ascii="宋体" w:hAnsi="宋体" w:eastAsia="宋体" w:cs="宋体"/>
                <w:color w:val="auto"/>
                <w:kern w:val="0"/>
              </w:rPr>
            </w:pPr>
          </w:p>
        </w:tc>
        <w:tc>
          <w:tcPr>
            <w:tcW w:w="1259" w:type="dxa"/>
          </w:tcPr>
          <w:p w14:paraId="75C83971">
            <w:pPr>
              <w:jc w:val="center"/>
              <w:rPr>
                <w:rFonts w:hint="eastAsia" w:ascii="宋体" w:hAnsi="宋体" w:eastAsia="宋体" w:cs="宋体"/>
                <w:color w:val="auto"/>
                <w:kern w:val="0"/>
              </w:rPr>
            </w:pPr>
          </w:p>
        </w:tc>
        <w:tc>
          <w:tcPr>
            <w:tcW w:w="1204" w:type="dxa"/>
          </w:tcPr>
          <w:p w14:paraId="4A27D9ED">
            <w:pPr>
              <w:jc w:val="center"/>
              <w:rPr>
                <w:rFonts w:hint="eastAsia" w:ascii="宋体" w:hAnsi="宋体" w:eastAsia="宋体" w:cs="宋体"/>
                <w:color w:val="auto"/>
                <w:kern w:val="0"/>
              </w:rPr>
            </w:pPr>
          </w:p>
        </w:tc>
        <w:tc>
          <w:tcPr>
            <w:tcW w:w="961" w:type="dxa"/>
          </w:tcPr>
          <w:p w14:paraId="0FCF024A">
            <w:pPr>
              <w:jc w:val="center"/>
              <w:rPr>
                <w:rFonts w:hint="eastAsia" w:ascii="宋体" w:hAnsi="宋体" w:eastAsia="宋体" w:cs="宋体"/>
                <w:color w:val="auto"/>
                <w:kern w:val="0"/>
              </w:rPr>
            </w:pPr>
          </w:p>
        </w:tc>
        <w:tc>
          <w:tcPr>
            <w:tcW w:w="961" w:type="dxa"/>
          </w:tcPr>
          <w:p w14:paraId="15982AF6">
            <w:pPr>
              <w:jc w:val="center"/>
              <w:rPr>
                <w:rFonts w:hint="eastAsia" w:ascii="宋体" w:hAnsi="宋体" w:eastAsia="宋体" w:cs="宋体"/>
                <w:color w:val="auto"/>
                <w:kern w:val="0"/>
              </w:rPr>
            </w:pPr>
          </w:p>
        </w:tc>
        <w:tc>
          <w:tcPr>
            <w:tcW w:w="959" w:type="dxa"/>
          </w:tcPr>
          <w:p w14:paraId="2A573344">
            <w:pPr>
              <w:jc w:val="center"/>
              <w:rPr>
                <w:rFonts w:hint="eastAsia" w:ascii="宋体" w:hAnsi="宋体" w:eastAsia="宋体" w:cs="宋体"/>
                <w:color w:val="auto"/>
                <w:kern w:val="0"/>
              </w:rPr>
            </w:pPr>
          </w:p>
        </w:tc>
        <w:tc>
          <w:tcPr>
            <w:tcW w:w="1164" w:type="dxa"/>
          </w:tcPr>
          <w:p w14:paraId="67765C2A">
            <w:pPr>
              <w:jc w:val="center"/>
              <w:rPr>
                <w:rFonts w:hint="eastAsia" w:ascii="宋体" w:hAnsi="宋体" w:eastAsia="宋体" w:cs="宋体"/>
                <w:color w:val="auto"/>
                <w:kern w:val="0"/>
              </w:rPr>
            </w:pPr>
          </w:p>
        </w:tc>
      </w:tr>
      <w:tr w14:paraId="5F05D6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431A74EA">
            <w:pPr>
              <w:jc w:val="center"/>
              <w:rPr>
                <w:rFonts w:hint="eastAsia" w:ascii="宋体" w:hAnsi="宋体" w:eastAsia="宋体" w:cs="宋体"/>
                <w:color w:val="auto"/>
                <w:kern w:val="0"/>
              </w:rPr>
            </w:pPr>
          </w:p>
        </w:tc>
        <w:tc>
          <w:tcPr>
            <w:tcW w:w="2054" w:type="dxa"/>
          </w:tcPr>
          <w:p w14:paraId="76ED78FA">
            <w:pPr>
              <w:jc w:val="center"/>
              <w:rPr>
                <w:rFonts w:hint="eastAsia" w:ascii="宋体" w:hAnsi="宋体" w:eastAsia="宋体" w:cs="宋体"/>
                <w:color w:val="auto"/>
                <w:kern w:val="0"/>
              </w:rPr>
            </w:pPr>
          </w:p>
        </w:tc>
        <w:tc>
          <w:tcPr>
            <w:tcW w:w="1259" w:type="dxa"/>
          </w:tcPr>
          <w:p w14:paraId="256BA6B6">
            <w:pPr>
              <w:jc w:val="center"/>
              <w:rPr>
                <w:rFonts w:hint="eastAsia" w:ascii="宋体" w:hAnsi="宋体" w:eastAsia="宋体" w:cs="宋体"/>
                <w:color w:val="auto"/>
                <w:kern w:val="0"/>
              </w:rPr>
            </w:pPr>
          </w:p>
        </w:tc>
        <w:tc>
          <w:tcPr>
            <w:tcW w:w="1204" w:type="dxa"/>
          </w:tcPr>
          <w:p w14:paraId="39D14583">
            <w:pPr>
              <w:jc w:val="center"/>
              <w:rPr>
                <w:rFonts w:hint="eastAsia" w:ascii="宋体" w:hAnsi="宋体" w:eastAsia="宋体" w:cs="宋体"/>
                <w:color w:val="auto"/>
                <w:kern w:val="0"/>
              </w:rPr>
            </w:pPr>
          </w:p>
        </w:tc>
        <w:tc>
          <w:tcPr>
            <w:tcW w:w="961" w:type="dxa"/>
          </w:tcPr>
          <w:p w14:paraId="768C033F">
            <w:pPr>
              <w:jc w:val="center"/>
              <w:rPr>
                <w:rFonts w:hint="eastAsia" w:ascii="宋体" w:hAnsi="宋体" w:eastAsia="宋体" w:cs="宋体"/>
                <w:color w:val="auto"/>
                <w:kern w:val="0"/>
              </w:rPr>
            </w:pPr>
          </w:p>
        </w:tc>
        <w:tc>
          <w:tcPr>
            <w:tcW w:w="961" w:type="dxa"/>
          </w:tcPr>
          <w:p w14:paraId="5621E1D6">
            <w:pPr>
              <w:jc w:val="center"/>
              <w:rPr>
                <w:rFonts w:hint="eastAsia" w:ascii="宋体" w:hAnsi="宋体" w:eastAsia="宋体" w:cs="宋体"/>
                <w:color w:val="auto"/>
                <w:kern w:val="0"/>
              </w:rPr>
            </w:pPr>
          </w:p>
        </w:tc>
        <w:tc>
          <w:tcPr>
            <w:tcW w:w="959" w:type="dxa"/>
          </w:tcPr>
          <w:p w14:paraId="6F5B6DB2">
            <w:pPr>
              <w:jc w:val="center"/>
              <w:rPr>
                <w:rFonts w:hint="eastAsia" w:ascii="宋体" w:hAnsi="宋体" w:eastAsia="宋体" w:cs="宋体"/>
                <w:color w:val="auto"/>
                <w:kern w:val="0"/>
              </w:rPr>
            </w:pPr>
          </w:p>
        </w:tc>
        <w:tc>
          <w:tcPr>
            <w:tcW w:w="1164" w:type="dxa"/>
          </w:tcPr>
          <w:p w14:paraId="31D3449F">
            <w:pPr>
              <w:jc w:val="center"/>
              <w:rPr>
                <w:rFonts w:hint="eastAsia" w:ascii="宋体" w:hAnsi="宋体" w:eastAsia="宋体" w:cs="宋体"/>
                <w:color w:val="auto"/>
                <w:kern w:val="0"/>
              </w:rPr>
            </w:pPr>
          </w:p>
        </w:tc>
      </w:tr>
      <w:tr w14:paraId="674995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7208BDBA">
            <w:pPr>
              <w:jc w:val="center"/>
              <w:rPr>
                <w:rFonts w:hint="eastAsia" w:ascii="宋体" w:hAnsi="宋体" w:eastAsia="宋体" w:cs="宋体"/>
                <w:color w:val="auto"/>
                <w:kern w:val="0"/>
              </w:rPr>
            </w:pPr>
          </w:p>
        </w:tc>
        <w:tc>
          <w:tcPr>
            <w:tcW w:w="2054" w:type="dxa"/>
          </w:tcPr>
          <w:p w14:paraId="165C93EB">
            <w:pPr>
              <w:jc w:val="center"/>
              <w:rPr>
                <w:rFonts w:hint="eastAsia" w:ascii="宋体" w:hAnsi="宋体" w:eastAsia="宋体" w:cs="宋体"/>
                <w:color w:val="auto"/>
                <w:kern w:val="0"/>
              </w:rPr>
            </w:pPr>
          </w:p>
        </w:tc>
        <w:tc>
          <w:tcPr>
            <w:tcW w:w="1259" w:type="dxa"/>
          </w:tcPr>
          <w:p w14:paraId="4D0B3A6D">
            <w:pPr>
              <w:jc w:val="center"/>
              <w:rPr>
                <w:rFonts w:hint="eastAsia" w:ascii="宋体" w:hAnsi="宋体" w:eastAsia="宋体" w:cs="宋体"/>
                <w:color w:val="auto"/>
                <w:kern w:val="0"/>
              </w:rPr>
            </w:pPr>
          </w:p>
        </w:tc>
        <w:tc>
          <w:tcPr>
            <w:tcW w:w="1204" w:type="dxa"/>
          </w:tcPr>
          <w:p w14:paraId="6E4994C4">
            <w:pPr>
              <w:jc w:val="center"/>
              <w:rPr>
                <w:rFonts w:hint="eastAsia" w:ascii="宋体" w:hAnsi="宋体" w:eastAsia="宋体" w:cs="宋体"/>
                <w:color w:val="auto"/>
                <w:kern w:val="0"/>
              </w:rPr>
            </w:pPr>
          </w:p>
        </w:tc>
        <w:tc>
          <w:tcPr>
            <w:tcW w:w="961" w:type="dxa"/>
          </w:tcPr>
          <w:p w14:paraId="34E4504D">
            <w:pPr>
              <w:jc w:val="center"/>
              <w:rPr>
                <w:rFonts w:hint="eastAsia" w:ascii="宋体" w:hAnsi="宋体" w:eastAsia="宋体" w:cs="宋体"/>
                <w:color w:val="auto"/>
                <w:kern w:val="0"/>
              </w:rPr>
            </w:pPr>
          </w:p>
        </w:tc>
        <w:tc>
          <w:tcPr>
            <w:tcW w:w="961" w:type="dxa"/>
          </w:tcPr>
          <w:p w14:paraId="43E7A40C">
            <w:pPr>
              <w:jc w:val="center"/>
              <w:rPr>
                <w:rFonts w:hint="eastAsia" w:ascii="宋体" w:hAnsi="宋体" w:eastAsia="宋体" w:cs="宋体"/>
                <w:color w:val="auto"/>
                <w:kern w:val="0"/>
              </w:rPr>
            </w:pPr>
          </w:p>
        </w:tc>
        <w:tc>
          <w:tcPr>
            <w:tcW w:w="959" w:type="dxa"/>
          </w:tcPr>
          <w:p w14:paraId="5B3B3560">
            <w:pPr>
              <w:jc w:val="center"/>
              <w:rPr>
                <w:rFonts w:hint="eastAsia" w:ascii="宋体" w:hAnsi="宋体" w:eastAsia="宋体" w:cs="宋体"/>
                <w:color w:val="auto"/>
                <w:kern w:val="0"/>
              </w:rPr>
            </w:pPr>
          </w:p>
        </w:tc>
        <w:tc>
          <w:tcPr>
            <w:tcW w:w="1164" w:type="dxa"/>
          </w:tcPr>
          <w:p w14:paraId="185EEA0A">
            <w:pPr>
              <w:jc w:val="center"/>
              <w:rPr>
                <w:rFonts w:hint="eastAsia" w:ascii="宋体" w:hAnsi="宋体" w:eastAsia="宋体" w:cs="宋体"/>
                <w:color w:val="auto"/>
                <w:kern w:val="0"/>
              </w:rPr>
            </w:pPr>
          </w:p>
        </w:tc>
      </w:tr>
      <w:tr w14:paraId="66E14B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76300023">
            <w:pPr>
              <w:jc w:val="center"/>
              <w:rPr>
                <w:rFonts w:hint="eastAsia" w:ascii="宋体" w:hAnsi="宋体" w:eastAsia="宋体" w:cs="宋体"/>
                <w:color w:val="auto"/>
                <w:kern w:val="0"/>
              </w:rPr>
            </w:pPr>
          </w:p>
        </w:tc>
        <w:tc>
          <w:tcPr>
            <w:tcW w:w="2054" w:type="dxa"/>
          </w:tcPr>
          <w:p w14:paraId="706317FF">
            <w:pPr>
              <w:jc w:val="center"/>
              <w:rPr>
                <w:rFonts w:hint="eastAsia" w:ascii="宋体" w:hAnsi="宋体" w:eastAsia="宋体" w:cs="宋体"/>
                <w:color w:val="auto"/>
                <w:kern w:val="0"/>
              </w:rPr>
            </w:pPr>
          </w:p>
        </w:tc>
        <w:tc>
          <w:tcPr>
            <w:tcW w:w="1259" w:type="dxa"/>
          </w:tcPr>
          <w:p w14:paraId="55CAEB75">
            <w:pPr>
              <w:jc w:val="center"/>
              <w:rPr>
                <w:rFonts w:hint="eastAsia" w:ascii="宋体" w:hAnsi="宋体" w:eastAsia="宋体" w:cs="宋体"/>
                <w:color w:val="auto"/>
                <w:kern w:val="0"/>
              </w:rPr>
            </w:pPr>
          </w:p>
        </w:tc>
        <w:tc>
          <w:tcPr>
            <w:tcW w:w="1204" w:type="dxa"/>
          </w:tcPr>
          <w:p w14:paraId="3FD6A996">
            <w:pPr>
              <w:jc w:val="center"/>
              <w:rPr>
                <w:rFonts w:hint="eastAsia" w:ascii="宋体" w:hAnsi="宋体" w:eastAsia="宋体" w:cs="宋体"/>
                <w:color w:val="auto"/>
                <w:kern w:val="0"/>
              </w:rPr>
            </w:pPr>
          </w:p>
        </w:tc>
        <w:tc>
          <w:tcPr>
            <w:tcW w:w="961" w:type="dxa"/>
          </w:tcPr>
          <w:p w14:paraId="0433CC02">
            <w:pPr>
              <w:jc w:val="center"/>
              <w:rPr>
                <w:rFonts w:hint="eastAsia" w:ascii="宋体" w:hAnsi="宋体" w:eastAsia="宋体" w:cs="宋体"/>
                <w:color w:val="auto"/>
                <w:kern w:val="0"/>
              </w:rPr>
            </w:pPr>
          </w:p>
        </w:tc>
        <w:tc>
          <w:tcPr>
            <w:tcW w:w="961" w:type="dxa"/>
          </w:tcPr>
          <w:p w14:paraId="1418A1BA">
            <w:pPr>
              <w:jc w:val="center"/>
              <w:rPr>
                <w:rFonts w:hint="eastAsia" w:ascii="宋体" w:hAnsi="宋体" w:eastAsia="宋体" w:cs="宋体"/>
                <w:color w:val="auto"/>
                <w:kern w:val="0"/>
              </w:rPr>
            </w:pPr>
          </w:p>
        </w:tc>
        <w:tc>
          <w:tcPr>
            <w:tcW w:w="959" w:type="dxa"/>
          </w:tcPr>
          <w:p w14:paraId="1FB138BE">
            <w:pPr>
              <w:jc w:val="center"/>
              <w:rPr>
                <w:rFonts w:hint="eastAsia" w:ascii="宋体" w:hAnsi="宋体" w:eastAsia="宋体" w:cs="宋体"/>
                <w:color w:val="auto"/>
                <w:kern w:val="0"/>
              </w:rPr>
            </w:pPr>
          </w:p>
        </w:tc>
        <w:tc>
          <w:tcPr>
            <w:tcW w:w="1164" w:type="dxa"/>
          </w:tcPr>
          <w:p w14:paraId="4A580B0E">
            <w:pPr>
              <w:jc w:val="center"/>
              <w:rPr>
                <w:rFonts w:hint="eastAsia" w:ascii="宋体" w:hAnsi="宋体" w:eastAsia="宋体" w:cs="宋体"/>
                <w:color w:val="auto"/>
                <w:kern w:val="0"/>
              </w:rPr>
            </w:pPr>
          </w:p>
        </w:tc>
      </w:tr>
      <w:tr w14:paraId="2E0486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064465AF">
            <w:pPr>
              <w:jc w:val="center"/>
              <w:rPr>
                <w:rFonts w:hint="eastAsia" w:ascii="宋体" w:hAnsi="宋体" w:eastAsia="宋体" w:cs="宋体"/>
                <w:color w:val="auto"/>
                <w:kern w:val="0"/>
              </w:rPr>
            </w:pPr>
          </w:p>
        </w:tc>
        <w:tc>
          <w:tcPr>
            <w:tcW w:w="2054" w:type="dxa"/>
          </w:tcPr>
          <w:p w14:paraId="046709C2">
            <w:pPr>
              <w:jc w:val="center"/>
              <w:rPr>
                <w:rFonts w:hint="eastAsia" w:ascii="宋体" w:hAnsi="宋体" w:eastAsia="宋体" w:cs="宋体"/>
                <w:color w:val="auto"/>
                <w:kern w:val="0"/>
              </w:rPr>
            </w:pPr>
          </w:p>
        </w:tc>
        <w:tc>
          <w:tcPr>
            <w:tcW w:w="1259" w:type="dxa"/>
          </w:tcPr>
          <w:p w14:paraId="765AD686">
            <w:pPr>
              <w:jc w:val="center"/>
              <w:rPr>
                <w:rFonts w:hint="eastAsia" w:ascii="宋体" w:hAnsi="宋体" w:eastAsia="宋体" w:cs="宋体"/>
                <w:color w:val="auto"/>
                <w:kern w:val="0"/>
              </w:rPr>
            </w:pPr>
          </w:p>
        </w:tc>
        <w:tc>
          <w:tcPr>
            <w:tcW w:w="1204" w:type="dxa"/>
          </w:tcPr>
          <w:p w14:paraId="68C92406">
            <w:pPr>
              <w:jc w:val="center"/>
              <w:rPr>
                <w:rFonts w:hint="eastAsia" w:ascii="宋体" w:hAnsi="宋体" w:eastAsia="宋体" w:cs="宋体"/>
                <w:color w:val="auto"/>
                <w:kern w:val="0"/>
              </w:rPr>
            </w:pPr>
          </w:p>
        </w:tc>
        <w:tc>
          <w:tcPr>
            <w:tcW w:w="961" w:type="dxa"/>
          </w:tcPr>
          <w:p w14:paraId="2E3EDCC9">
            <w:pPr>
              <w:jc w:val="center"/>
              <w:rPr>
                <w:rFonts w:hint="eastAsia" w:ascii="宋体" w:hAnsi="宋体" w:eastAsia="宋体" w:cs="宋体"/>
                <w:color w:val="auto"/>
                <w:kern w:val="0"/>
              </w:rPr>
            </w:pPr>
          </w:p>
        </w:tc>
        <w:tc>
          <w:tcPr>
            <w:tcW w:w="961" w:type="dxa"/>
          </w:tcPr>
          <w:p w14:paraId="30782952">
            <w:pPr>
              <w:jc w:val="center"/>
              <w:rPr>
                <w:rFonts w:hint="eastAsia" w:ascii="宋体" w:hAnsi="宋体" w:eastAsia="宋体" w:cs="宋体"/>
                <w:color w:val="auto"/>
                <w:kern w:val="0"/>
              </w:rPr>
            </w:pPr>
          </w:p>
        </w:tc>
        <w:tc>
          <w:tcPr>
            <w:tcW w:w="959" w:type="dxa"/>
          </w:tcPr>
          <w:p w14:paraId="1209D3D6">
            <w:pPr>
              <w:jc w:val="center"/>
              <w:rPr>
                <w:rFonts w:hint="eastAsia" w:ascii="宋体" w:hAnsi="宋体" w:eastAsia="宋体" w:cs="宋体"/>
                <w:color w:val="auto"/>
                <w:kern w:val="0"/>
              </w:rPr>
            </w:pPr>
          </w:p>
        </w:tc>
        <w:tc>
          <w:tcPr>
            <w:tcW w:w="1164" w:type="dxa"/>
          </w:tcPr>
          <w:p w14:paraId="48B5442D">
            <w:pPr>
              <w:jc w:val="center"/>
              <w:rPr>
                <w:rFonts w:hint="eastAsia" w:ascii="宋体" w:hAnsi="宋体" w:eastAsia="宋体" w:cs="宋体"/>
                <w:color w:val="auto"/>
                <w:kern w:val="0"/>
              </w:rPr>
            </w:pPr>
          </w:p>
        </w:tc>
      </w:tr>
      <w:tr w14:paraId="47F9F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6" w:hRule="atLeast"/>
          <w:jc w:val="center"/>
        </w:trPr>
        <w:tc>
          <w:tcPr>
            <w:tcW w:w="931" w:type="dxa"/>
          </w:tcPr>
          <w:p w14:paraId="4EBB9ADD">
            <w:pPr>
              <w:jc w:val="center"/>
              <w:rPr>
                <w:rFonts w:hint="eastAsia" w:ascii="宋体" w:hAnsi="宋体" w:eastAsia="宋体" w:cs="宋体"/>
                <w:color w:val="auto"/>
                <w:kern w:val="0"/>
              </w:rPr>
            </w:pPr>
          </w:p>
        </w:tc>
        <w:tc>
          <w:tcPr>
            <w:tcW w:w="2054" w:type="dxa"/>
          </w:tcPr>
          <w:p w14:paraId="617D388B">
            <w:pPr>
              <w:jc w:val="center"/>
              <w:rPr>
                <w:rFonts w:hint="eastAsia" w:ascii="宋体" w:hAnsi="宋体" w:eastAsia="宋体" w:cs="宋体"/>
                <w:color w:val="auto"/>
                <w:kern w:val="0"/>
              </w:rPr>
            </w:pPr>
          </w:p>
        </w:tc>
        <w:tc>
          <w:tcPr>
            <w:tcW w:w="1259" w:type="dxa"/>
          </w:tcPr>
          <w:p w14:paraId="38A6C699">
            <w:pPr>
              <w:jc w:val="center"/>
              <w:rPr>
                <w:rFonts w:hint="eastAsia" w:ascii="宋体" w:hAnsi="宋体" w:eastAsia="宋体" w:cs="宋体"/>
                <w:color w:val="auto"/>
                <w:kern w:val="0"/>
              </w:rPr>
            </w:pPr>
          </w:p>
        </w:tc>
        <w:tc>
          <w:tcPr>
            <w:tcW w:w="1204" w:type="dxa"/>
          </w:tcPr>
          <w:p w14:paraId="7877E449">
            <w:pPr>
              <w:jc w:val="center"/>
              <w:rPr>
                <w:rFonts w:hint="eastAsia" w:ascii="宋体" w:hAnsi="宋体" w:eastAsia="宋体" w:cs="宋体"/>
                <w:color w:val="auto"/>
                <w:kern w:val="0"/>
              </w:rPr>
            </w:pPr>
          </w:p>
        </w:tc>
        <w:tc>
          <w:tcPr>
            <w:tcW w:w="961" w:type="dxa"/>
          </w:tcPr>
          <w:p w14:paraId="29C2A927">
            <w:pPr>
              <w:jc w:val="center"/>
              <w:rPr>
                <w:rFonts w:hint="eastAsia" w:ascii="宋体" w:hAnsi="宋体" w:eastAsia="宋体" w:cs="宋体"/>
                <w:color w:val="auto"/>
                <w:kern w:val="0"/>
              </w:rPr>
            </w:pPr>
          </w:p>
        </w:tc>
        <w:tc>
          <w:tcPr>
            <w:tcW w:w="961" w:type="dxa"/>
          </w:tcPr>
          <w:p w14:paraId="10E07009">
            <w:pPr>
              <w:jc w:val="center"/>
              <w:rPr>
                <w:rFonts w:hint="eastAsia" w:ascii="宋体" w:hAnsi="宋体" w:eastAsia="宋体" w:cs="宋体"/>
                <w:color w:val="auto"/>
                <w:kern w:val="0"/>
              </w:rPr>
            </w:pPr>
          </w:p>
        </w:tc>
        <w:tc>
          <w:tcPr>
            <w:tcW w:w="959" w:type="dxa"/>
          </w:tcPr>
          <w:p w14:paraId="53C35D80">
            <w:pPr>
              <w:jc w:val="center"/>
              <w:rPr>
                <w:rFonts w:hint="eastAsia" w:ascii="宋体" w:hAnsi="宋体" w:eastAsia="宋体" w:cs="宋体"/>
                <w:color w:val="auto"/>
                <w:kern w:val="0"/>
              </w:rPr>
            </w:pPr>
          </w:p>
        </w:tc>
        <w:tc>
          <w:tcPr>
            <w:tcW w:w="1164" w:type="dxa"/>
          </w:tcPr>
          <w:p w14:paraId="16A8AB78">
            <w:pPr>
              <w:jc w:val="center"/>
              <w:rPr>
                <w:rFonts w:hint="eastAsia" w:ascii="宋体" w:hAnsi="宋体" w:eastAsia="宋体" w:cs="宋体"/>
                <w:color w:val="auto"/>
                <w:kern w:val="0"/>
              </w:rPr>
            </w:pPr>
          </w:p>
        </w:tc>
      </w:tr>
      <w:tr w14:paraId="23C698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35FF6A42">
            <w:pPr>
              <w:jc w:val="center"/>
              <w:rPr>
                <w:rFonts w:hint="eastAsia" w:ascii="宋体" w:hAnsi="宋体" w:eastAsia="宋体" w:cs="宋体"/>
                <w:color w:val="auto"/>
                <w:kern w:val="0"/>
              </w:rPr>
            </w:pPr>
          </w:p>
        </w:tc>
        <w:tc>
          <w:tcPr>
            <w:tcW w:w="2054" w:type="dxa"/>
          </w:tcPr>
          <w:p w14:paraId="63937219">
            <w:pPr>
              <w:jc w:val="center"/>
              <w:rPr>
                <w:rFonts w:hint="eastAsia" w:ascii="宋体" w:hAnsi="宋体" w:eastAsia="宋体" w:cs="宋体"/>
                <w:color w:val="auto"/>
                <w:kern w:val="0"/>
              </w:rPr>
            </w:pPr>
          </w:p>
        </w:tc>
        <w:tc>
          <w:tcPr>
            <w:tcW w:w="1259" w:type="dxa"/>
          </w:tcPr>
          <w:p w14:paraId="4AF0EC56">
            <w:pPr>
              <w:jc w:val="center"/>
              <w:rPr>
                <w:rFonts w:hint="eastAsia" w:ascii="宋体" w:hAnsi="宋体" w:eastAsia="宋体" w:cs="宋体"/>
                <w:color w:val="auto"/>
                <w:kern w:val="0"/>
              </w:rPr>
            </w:pPr>
          </w:p>
        </w:tc>
        <w:tc>
          <w:tcPr>
            <w:tcW w:w="1204" w:type="dxa"/>
          </w:tcPr>
          <w:p w14:paraId="3F0A7438">
            <w:pPr>
              <w:jc w:val="center"/>
              <w:rPr>
                <w:rFonts w:hint="eastAsia" w:ascii="宋体" w:hAnsi="宋体" w:eastAsia="宋体" w:cs="宋体"/>
                <w:color w:val="auto"/>
                <w:kern w:val="0"/>
              </w:rPr>
            </w:pPr>
          </w:p>
        </w:tc>
        <w:tc>
          <w:tcPr>
            <w:tcW w:w="961" w:type="dxa"/>
          </w:tcPr>
          <w:p w14:paraId="376A9180">
            <w:pPr>
              <w:jc w:val="center"/>
              <w:rPr>
                <w:rFonts w:hint="eastAsia" w:ascii="宋体" w:hAnsi="宋体" w:eastAsia="宋体" w:cs="宋体"/>
                <w:color w:val="auto"/>
                <w:kern w:val="0"/>
              </w:rPr>
            </w:pPr>
          </w:p>
        </w:tc>
        <w:tc>
          <w:tcPr>
            <w:tcW w:w="961" w:type="dxa"/>
          </w:tcPr>
          <w:p w14:paraId="287B7302">
            <w:pPr>
              <w:jc w:val="center"/>
              <w:rPr>
                <w:rFonts w:hint="eastAsia" w:ascii="宋体" w:hAnsi="宋体" w:eastAsia="宋体" w:cs="宋体"/>
                <w:color w:val="auto"/>
                <w:kern w:val="0"/>
              </w:rPr>
            </w:pPr>
          </w:p>
        </w:tc>
        <w:tc>
          <w:tcPr>
            <w:tcW w:w="959" w:type="dxa"/>
          </w:tcPr>
          <w:p w14:paraId="37D11265">
            <w:pPr>
              <w:jc w:val="center"/>
              <w:rPr>
                <w:rFonts w:hint="eastAsia" w:ascii="宋体" w:hAnsi="宋体" w:eastAsia="宋体" w:cs="宋体"/>
                <w:color w:val="auto"/>
                <w:kern w:val="0"/>
              </w:rPr>
            </w:pPr>
          </w:p>
        </w:tc>
        <w:tc>
          <w:tcPr>
            <w:tcW w:w="1164" w:type="dxa"/>
          </w:tcPr>
          <w:p w14:paraId="2294BAC2">
            <w:pPr>
              <w:jc w:val="center"/>
              <w:rPr>
                <w:rFonts w:hint="eastAsia" w:ascii="宋体" w:hAnsi="宋体" w:eastAsia="宋体" w:cs="宋体"/>
                <w:color w:val="auto"/>
                <w:kern w:val="0"/>
              </w:rPr>
            </w:pPr>
          </w:p>
        </w:tc>
      </w:tr>
      <w:tr w14:paraId="3DFE98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7840878F">
            <w:pPr>
              <w:jc w:val="center"/>
              <w:rPr>
                <w:rFonts w:hint="eastAsia" w:ascii="宋体" w:hAnsi="宋体" w:eastAsia="宋体" w:cs="宋体"/>
                <w:color w:val="auto"/>
                <w:kern w:val="0"/>
              </w:rPr>
            </w:pPr>
          </w:p>
        </w:tc>
        <w:tc>
          <w:tcPr>
            <w:tcW w:w="2054" w:type="dxa"/>
          </w:tcPr>
          <w:p w14:paraId="16A329F8">
            <w:pPr>
              <w:jc w:val="center"/>
              <w:rPr>
                <w:rFonts w:hint="eastAsia" w:ascii="宋体" w:hAnsi="宋体" w:eastAsia="宋体" w:cs="宋体"/>
                <w:color w:val="auto"/>
                <w:kern w:val="0"/>
              </w:rPr>
            </w:pPr>
          </w:p>
        </w:tc>
        <w:tc>
          <w:tcPr>
            <w:tcW w:w="1259" w:type="dxa"/>
          </w:tcPr>
          <w:p w14:paraId="5E9AACFA">
            <w:pPr>
              <w:jc w:val="center"/>
              <w:rPr>
                <w:rFonts w:hint="eastAsia" w:ascii="宋体" w:hAnsi="宋体" w:eastAsia="宋体" w:cs="宋体"/>
                <w:color w:val="auto"/>
                <w:kern w:val="0"/>
              </w:rPr>
            </w:pPr>
          </w:p>
        </w:tc>
        <w:tc>
          <w:tcPr>
            <w:tcW w:w="1204" w:type="dxa"/>
          </w:tcPr>
          <w:p w14:paraId="1E70A5D2">
            <w:pPr>
              <w:jc w:val="center"/>
              <w:rPr>
                <w:rFonts w:hint="eastAsia" w:ascii="宋体" w:hAnsi="宋体" w:eastAsia="宋体" w:cs="宋体"/>
                <w:color w:val="auto"/>
                <w:kern w:val="0"/>
              </w:rPr>
            </w:pPr>
          </w:p>
        </w:tc>
        <w:tc>
          <w:tcPr>
            <w:tcW w:w="961" w:type="dxa"/>
          </w:tcPr>
          <w:p w14:paraId="71266C15">
            <w:pPr>
              <w:jc w:val="center"/>
              <w:rPr>
                <w:rFonts w:hint="eastAsia" w:ascii="宋体" w:hAnsi="宋体" w:eastAsia="宋体" w:cs="宋体"/>
                <w:color w:val="auto"/>
                <w:kern w:val="0"/>
              </w:rPr>
            </w:pPr>
          </w:p>
        </w:tc>
        <w:tc>
          <w:tcPr>
            <w:tcW w:w="961" w:type="dxa"/>
          </w:tcPr>
          <w:p w14:paraId="129A9C7A">
            <w:pPr>
              <w:jc w:val="center"/>
              <w:rPr>
                <w:rFonts w:hint="eastAsia" w:ascii="宋体" w:hAnsi="宋体" w:eastAsia="宋体" w:cs="宋体"/>
                <w:color w:val="auto"/>
                <w:kern w:val="0"/>
              </w:rPr>
            </w:pPr>
          </w:p>
        </w:tc>
        <w:tc>
          <w:tcPr>
            <w:tcW w:w="959" w:type="dxa"/>
          </w:tcPr>
          <w:p w14:paraId="67ADF3D8">
            <w:pPr>
              <w:jc w:val="center"/>
              <w:rPr>
                <w:rFonts w:hint="eastAsia" w:ascii="宋体" w:hAnsi="宋体" w:eastAsia="宋体" w:cs="宋体"/>
                <w:color w:val="auto"/>
                <w:kern w:val="0"/>
              </w:rPr>
            </w:pPr>
          </w:p>
        </w:tc>
        <w:tc>
          <w:tcPr>
            <w:tcW w:w="1164" w:type="dxa"/>
          </w:tcPr>
          <w:p w14:paraId="6548243F">
            <w:pPr>
              <w:jc w:val="center"/>
              <w:rPr>
                <w:rFonts w:hint="eastAsia" w:ascii="宋体" w:hAnsi="宋体" w:eastAsia="宋体" w:cs="宋体"/>
                <w:color w:val="auto"/>
                <w:kern w:val="0"/>
              </w:rPr>
            </w:pPr>
          </w:p>
        </w:tc>
      </w:tr>
      <w:tr w14:paraId="3BF352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931" w:type="dxa"/>
          </w:tcPr>
          <w:p w14:paraId="7730EC48">
            <w:pPr>
              <w:jc w:val="center"/>
              <w:rPr>
                <w:rFonts w:hint="eastAsia" w:ascii="宋体" w:hAnsi="宋体" w:eastAsia="宋体" w:cs="宋体"/>
                <w:color w:val="auto"/>
                <w:kern w:val="0"/>
              </w:rPr>
            </w:pPr>
          </w:p>
        </w:tc>
        <w:tc>
          <w:tcPr>
            <w:tcW w:w="2054" w:type="dxa"/>
          </w:tcPr>
          <w:p w14:paraId="27FAF16C">
            <w:pPr>
              <w:jc w:val="center"/>
              <w:rPr>
                <w:rFonts w:hint="eastAsia" w:ascii="宋体" w:hAnsi="宋体" w:eastAsia="宋体" w:cs="宋体"/>
                <w:color w:val="auto"/>
                <w:kern w:val="0"/>
              </w:rPr>
            </w:pPr>
          </w:p>
        </w:tc>
        <w:tc>
          <w:tcPr>
            <w:tcW w:w="1259" w:type="dxa"/>
          </w:tcPr>
          <w:p w14:paraId="5728C668">
            <w:pPr>
              <w:jc w:val="center"/>
              <w:rPr>
                <w:rFonts w:hint="eastAsia" w:ascii="宋体" w:hAnsi="宋体" w:eastAsia="宋体" w:cs="宋体"/>
                <w:color w:val="auto"/>
                <w:kern w:val="0"/>
              </w:rPr>
            </w:pPr>
          </w:p>
        </w:tc>
        <w:tc>
          <w:tcPr>
            <w:tcW w:w="1204" w:type="dxa"/>
          </w:tcPr>
          <w:p w14:paraId="0BBD2E9A">
            <w:pPr>
              <w:jc w:val="center"/>
              <w:rPr>
                <w:rFonts w:hint="eastAsia" w:ascii="宋体" w:hAnsi="宋体" w:eastAsia="宋体" w:cs="宋体"/>
                <w:color w:val="auto"/>
                <w:kern w:val="0"/>
              </w:rPr>
            </w:pPr>
          </w:p>
        </w:tc>
        <w:tc>
          <w:tcPr>
            <w:tcW w:w="961" w:type="dxa"/>
          </w:tcPr>
          <w:p w14:paraId="59EF8672">
            <w:pPr>
              <w:jc w:val="center"/>
              <w:rPr>
                <w:rFonts w:hint="eastAsia" w:ascii="宋体" w:hAnsi="宋体" w:eastAsia="宋体" w:cs="宋体"/>
                <w:color w:val="auto"/>
                <w:kern w:val="0"/>
              </w:rPr>
            </w:pPr>
          </w:p>
        </w:tc>
        <w:tc>
          <w:tcPr>
            <w:tcW w:w="961" w:type="dxa"/>
          </w:tcPr>
          <w:p w14:paraId="3F03437C">
            <w:pPr>
              <w:jc w:val="center"/>
              <w:rPr>
                <w:rFonts w:hint="eastAsia" w:ascii="宋体" w:hAnsi="宋体" w:eastAsia="宋体" w:cs="宋体"/>
                <w:color w:val="auto"/>
                <w:kern w:val="0"/>
              </w:rPr>
            </w:pPr>
          </w:p>
        </w:tc>
        <w:tc>
          <w:tcPr>
            <w:tcW w:w="959" w:type="dxa"/>
          </w:tcPr>
          <w:p w14:paraId="2E770808">
            <w:pPr>
              <w:jc w:val="center"/>
              <w:rPr>
                <w:rFonts w:hint="eastAsia" w:ascii="宋体" w:hAnsi="宋体" w:eastAsia="宋体" w:cs="宋体"/>
                <w:color w:val="auto"/>
                <w:kern w:val="0"/>
              </w:rPr>
            </w:pPr>
          </w:p>
        </w:tc>
        <w:tc>
          <w:tcPr>
            <w:tcW w:w="1164" w:type="dxa"/>
          </w:tcPr>
          <w:p w14:paraId="3DFDACEE">
            <w:pPr>
              <w:jc w:val="center"/>
              <w:rPr>
                <w:rFonts w:hint="eastAsia" w:ascii="宋体" w:hAnsi="宋体" w:eastAsia="宋体" w:cs="宋体"/>
                <w:color w:val="auto"/>
                <w:kern w:val="0"/>
              </w:rPr>
            </w:pPr>
          </w:p>
        </w:tc>
      </w:tr>
      <w:tr w14:paraId="0EBAA8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8" w:hRule="atLeast"/>
          <w:jc w:val="center"/>
        </w:trPr>
        <w:tc>
          <w:tcPr>
            <w:tcW w:w="931" w:type="dxa"/>
          </w:tcPr>
          <w:p w14:paraId="7791651B">
            <w:pPr>
              <w:jc w:val="center"/>
              <w:rPr>
                <w:rFonts w:hint="eastAsia" w:ascii="宋体" w:hAnsi="宋体" w:eastAsia="宋体" w:cs="宋体"/>
                <w:color w:val="auto"/>
                <w:kern w:val="0"/>
              </w:rPr>
            </w:pPr>
          </w:p>
        </w:tc>
        <w:tc>
          <w:tcPr>
            <w:tcW w:w="2054" w:type="dxa"/>
          </w:tcPr>
          <w:p w14:paraId="4FACAE03">
            <w:pPr>
              <w:jc w:val="center"/>
              <w:rPr>
                <w:rFonts w:hint="eastAsia" w:ascii="宋体" w:hAnsi="宋体" w:eastAsia="宋体" w:cs="宋体"/>
                <w:color w:val="auto"/>
                <w:kern w:val="0"/>
              </w:rPr>
            </w:pPr>
          </w:p>
        </w:tc>
        <w:tc>
          <w:tcPr>
            <w:tcW w:w="1259" w:type="dxa"/>
          </w:tcPr>
          <w:p w14:paraId="69E00BB1">
            <w:pPr>
              <w:jc w:val="center"/>
              <w:rPr>
                <w:rFonts w:hint="eastAsia" w:ascii="宋体" w:hAnsi="宋体" w:eastAsia="宋体" w:cs="宋体"/>
                <w:color w:val="auto"/>
                <w:kern w:val="0"/>
              </w:rPr>
            </w:pPr>
          </w:p>
        </w:tc>
        <w:tc>
          <w:tcPr>
            <w:tcW w:w="1204" w:type="dxa"/>
          </w:tcPr>
          <w:p w14:paraId="54057DD9">
            <w:pPr>
              <w:jc w:val="center"/>
              <w:rPr>
                <w:rFonts w:hint="eastAsia" w:ascii="宋体" w:hAnsi="宋体" w:eastAsia="宋体" w:cs="宋体"/>
                <w:color w:val="auto"/>
                <w:kern w:val="0"/>
              </w:rPr>
            </w:pPr>
          </w:p>
        </w:tc>
        <w:tc>
          <w:tcPr>
            <w:tcW w:w="961" w:type="dxa"/>
          </w:tcPr>
          <w:p w14:paraId="0059BCAC">
            <w:pPr>
              <w:jc w:val="center"/>
              <w:rPr>
                <w:rFonts w:hint="eastAsia" w:ascii="宋体" w:hAnsi="宋体" w:eastAsia="宋体" w:cs="宋体"/>
                <w:color w:val="auto"/>
                <w:kern w:val="0"/>
              </w:rPr>
            </w:pPr>
          </w:p>
        </w:tc>
        <w:tc>
          <w:tcPr>
            <w:tcW w:w="961" w:type="dxa"/>
          </w:tcPr>
          <w:p w14:paraId="718E2181">
            <w:pPr>
              <w:jc w:val="center"/>
              <w:rPr>
                <w:rFonts w:hint="eastAsia" w:ascii="宋体" w:hAnsi="宋体" w:eastAsia="宋体" w:cs="宋体"/>
                <w:color w:val="auto"/>
                <w:kern w:val="0"/>
              </w:rPr>
            </w:pPr>
          </w:p>
        </w:tc>
        <w:tc>
          <w:tcPr>
            <w:tcW w:w="959" w:type="dxa"/>
          </w:tcPr>
          <w:p w14:paraId="07686569">
            <w:pPr>
              <w:jc w:val="center"/>
              <w:rPr>
                <w:rFonts w:hint="eastAsia" w:ascii="宋体" w:hAnsi="宋体" w:eastAsia="宋体" w:cs="宋体"/>
                <w:color w:val="auto"/>
                <w:kern w:val="0"/>
              </w:rPr>
            </w:pPr>
          </w:p>
        </w:tc>
        <w:tc>
          <w:tcPr>
            <w:tcW w:w="1164" w:type="dxa"/>
          </w:tcPr>
          <w:p w14:paraId="18F8FF51">
            <w:pPr>
              <w:jc w:val="center"/>
              <w:rPr>
                <w:rFonts w:hint="eastAsia" w:ascii="宋体" w:hAnsi="宋体" w:eastAsia="宋体" w:cs="宋体"/>
                <w:color w:val="auto"/>
                <w:kern w:val="0"/>
              </w:rPr>
            </w:pPr>
          </w:p>
        </w:tc>
      </w:tr>
    </w:tbl>
    <w:p w14:paraId="5B2BDF6E">
      <w:pPr>
        <w:tabs>
          <w:tab w:val="left" w:pos="0"/>
          <w:tab w:val="left" w:pos="7920"/>
        </w:tabs>
        <w:spacing w:line="360" w:lineRule="auto"/>
        <w:jc w:val="left"/>
        <w:rPr>
          <w:rFonts w:hint="eastAsia" w:ascii="宋体" w:hAnsi="宋体" w:eastAsia="宋体" w:cs="宋体"/>
          <w:b/>
          <w:bCs/>
          <w:color w:val="auto"/>
          <w:kern w:val="32"/>
          <w:sz w:val="24"/>
          <w:szCs w:val="32"/>
        </w:rPr>
      </w:pPr>
      <w:r>
        <w:rPr>
          <w:rFonts w:hint="eastAsia" w:ascii="宋体" w:hAnsi="宋体" w:eastAsia="宋体" w:cs="宋体"/>
          <w:b/>
          <w:bCs/>
          <w:color w:val="auto"/>
          <w:kern w:val="32"/>
          <w:sz w:val="24"/>
          <w:szCs w:val="32"/>
        </w:rPr>
        <w:t>注：附相关证件的复印件，如身份证、资质证等。</w:t>
      </w:r>
    </w:p>
    <w:p w14:paraId="0B5F9EB3">
      <w:pPr>
        <w:tabs>
          <w:tab w:val="left" w:pos="0"/>
          <w:tab w:val="left" w:pos="7920"/>
        </w:tabs>
        <w:spacing w:line="360" w:lineRule="auto"/>
        <w:jc w:val="center"/>
        <w:rPr>
          <w:rFonts w:hint="eastAsia" w:ascii="宋体" w:hAnsi="宋体" w:eastAsia="宋体" w:cs="宋体"/>
          <w:b/>
          <w:bCs/>
          <w:color w:val="auto"/>
          <w:kern w:val="32"/>
          <w:sz w:val="24"/>
          <w:szCs w:val="32"/>
        </w:rPr>
      </w:pPr>
    </w:p>
    <w:p w14:paraId="5B08AE96">
      <w:pPr>
        <w:tabs>
          <w:tab w:val="left" w:pos="0"/>
          <w:tab w:val="left" w:pos="7920"/>
        </w:tabs>
        <w:spacing w:line="360" w:lineRule="auto"/>
        <w:jc w:val="center"/>
        <w:rPr>
          <w:rFonts w:hint="eastAsia" w:ascii="宋体" w:hAnsi="宋体" w:eastAsia="宋体" w:cs="宋体"/>
          <w:b/>
          <w:bCs/>
          <w:color w:val="auto"/>
          <w:kern w:val="32"/>
          <w:sz w:val="24"/>
          <w:szCs w:val="32"/>
        </w:rPr>
      </w:pPr>
    </w:p>
    <w:p w14:paraId="15A03557">
      <w:pPr>
        <w:tabs>
          <w:tab w:val="left" w:pos="0"/>
          <w:tab w:val="left" w:pos="7920"/>
        </w:tabs>
        <w:spacing w:line="360" w:lineRule="auto"/>
        <w:jc w:val="center"/>
        <w:rPr>
          <w:rFonts w:hint="eastAsia" w:ascii="宋体" w:hAnsi="宋体" w:eastAsia="宋体" w:cs="宋体"/>
          <w:b/>
          <w:bCs/>
          <w:color w:val="auto"/>
          <w:kern w:val="32"/>
          <w:sz w:val="24"/>
          <w:szCs w:val="32"/>
        </w:rPr>
      </w:pPr>
    </w:p>
    <w:p w14:paraId="667B46B3">
      <w:pPr>
        <w:tabs>
          <w:tab w:val="left" w:pos="0"/>
          <w:tab w:val="left" w:pos="7920"/>
        </w:tabs>
        <w:spacing w:line="360" w:lineRule="auto"/>
        <w:jc w:val="center"/>
        <w:rPr>
          <w:rFonts w:hint="eastAsia" w:ascii="宋体" w:hAnsi="宋体" w:eastAsia="宋体" w:cs="宋体"/>
          <w:b/>
          <w:bCs/>
          <w:color w:val="auto"/>
          <w:kern w:val="32"/>
          <w:sz w:val="24"/>
          <w:szCs w:val="32"/>
        </w:rPr>
      </w:pPr>
    </w:p>
    <w:p w14:paraId="7E4494BE">
      <w:pPr>
        <w:tabs>
          <w:tab w:val="left" w:pos="0"/>
          <w:tab w:val="left" w:pos="7920"/>
        </w:tabs>
        <w:spacing w:line="360" w:lineRule="auto"/>
        <w:jc w:val="center"/>
        <w:rPr>
          <w:rFonts w:hint="eastAsia" w:ascii="宋体" w:hAnsi="宋体" w:eastAsia="宋体" w:cs="宋体"/>
          <w:b/>
          <w:bCs/>
          <w:color w:val="auto"/>
          <w:kern w:val="32"/>
          <w:sz w:val="24"/>
          <w:szCs w:val="32"/>
        </w:rPr>
      </w:pPr>
    </w:p>
    <w:p w14:paraId="7C42B7CE">
      <w:pPr>
        <w:tabs>
          <w:tab w:val="left" w:pos="0"/>
          <w:tab w:val="left" w:pos="7920"/>
        </w:tabs>
        <w:spacing w:line="360" w:lineRule="auto"/>
        <w:jc w:val="center"/>
        <w:rPr>
          <w:rFonts w:hint="eastAsia" w:ascii="宋体" w:hAnsi="宋体" w:eastAsia="宋体" w:cs="宋体"/>
          <w:b/>
          <w:bCs/>
          <w:color w:val="auto"/>
          <w:kern w:val="32"/>
          <w:sz w:val="24"/>
          <w:szCs w:val="32"/>
        </w:rPr>
      </w:pPr>
    </w:p>
    <w:p w14:paraId="2AD07968">
      <w:pPr>
        <w:tabs>
          <w:tab w:val="left" w:pos="0"/>
          <w:tab w:val="left" w:pos="7920"/>
        </w:tabs>
        <w:spacing w:line="360" w:lineRule="auto"/>
        <w:jc w:val="center"/>
        <w:rPr>
          <w:rFonts w:hint="eastAsia" w:ascii="宋体" w:hAnsi="宋体" w:eastAsia="宋体" w:cs="宋体"/>
          <w:b/>
          <w:bCs/>
          <w:color w:val="auto"/>
          <w:kern w:val="32"/>
          <w:sz w:val="24"/>
          <w:szCs w:val="32"/>
        </w:rPr>
      </w:pPr>
    </w:p>
    <w:p w14:paraId="003E117E">
      <w:pPr>
        <w:pStyle w:val="3"/>
        <w:numPr>
          <w:ilvl w:val="1"/>
          <w:numId w:val="0"/>
        </w:numPr>
        <w:spacing w:line="600" w:lineRule="exact"/>
        <w:jc w:val="center"/>
        <w:rPr>
          <w:rFonts w:hint="eastAsia" w:ascii="宋体" w:hAnsi="宋体" w:eastAsia="宋体" w:cs="宋体"/>
          <w:color w:val="auto"/>
          <w:w w:val="100"/>
          <w:kern w:val="32"/>
          <w:highlight w:val="none"/>
          <w:lang w:eastAsia="zh-CN"/>
        </w:rPr>
      </w:pPr>
      <w:bookmarkStart w:id="270" w:name="_Toc321052842"/>
      <w:bookmarkStart w:id="271" w:name="_Toc23437"/>
      <w:bookmarkStart w:id="272" w:name="_Toc29818"/>
      <w:bookmarkStart w:id="273" w:name="_Toc32023"/>
      <w:bookmarkStart w:id="274" w:name="_Toc30168"/>
      <w:bookmarkStart w:id="275" w:name="_Toc10830"/>
      <w:bookmarkStart w:id="276" w:name="_Toc27930"/>
      <w:r>
        <w:rPr>
          <w:rFonts w:hint="eastAsia" w:ascii="宋体" w:hAnsi="宋体" w:eastAsia="宋体" w:cs="宋体"/>
          <w:color w:val="auto"/>
          <w:w w:val="100"/>
          <w:kern w:val="32"/>
          <w:highlight w:val="none"/>
          <w:lang w:val="en-US" w:eastAsia="zh-CN"/>
        </w:rPr>
        <w:t>七</w:t>
      </w:r>
      <w:r>
        <w:rPr>
          <w:rFonts w:hint="eastAsia" w:ascii="宋体" w:hAnsi="宋体" w:eastAsia="宋体" w:cs="宋体"/>
          <w:color w:val="auto"/>
          <w:w w:val="100"/>
          <w:kern w:val="32"/>
          <w:highlight w:val="none"/>
        </w:rPr>
        <w:t>、投标人资格证明文件</w:t>
      </w:r>
      <w:bookmarkEnd w:id="270"/>
      <w:r>
        <w:rPr>
          <w:rFonts w:hint="eastAsia" w:ascii="宋体" w:hAnsi="宋体" w:eastAsia="宋体" w:cs="宋体"/>
          <w:color w:val="auto"/>
          <w:w w:val="100"/>
          <w:kern w:val="32"/>
          <w:highlight w:val="none"/>
          <w:lang w:eastAsia="zh-CN"/>
        </w:rPr>
        <w:t>（</w:t>
      </w:r>
      <w:r>
        <w:rPr>
          <w:rFonts w:hint="eastAsia" w:ascii="宋体" w:hAnsi="宋体" w:eastAsia="宋体" w:cs="宋体"/>
          <w:color w:val="auto"/>
          <w:w w:val="100"/>
          <w:kern w:val="32"/>
          <w:highlight w:val="none"/>
          <w:lang w:val="en-US" w:eastAsia="zh-CN"/>
        </w:rPr>
        <w:t>资格审查部分</w:t>
      </w:r>
      <w:r>
        <w:rPr>
          <w:rFonts w:hint="eastAsia" w:ascii="宋体" w:hAnsi="宋体" w:eastAsia="宋体" w:cs="宋体"/>
          <w:color w:val="auto"/>
          <w:w w:val="100"/>
          <w:kern w:val="32"/>
          <w:highlight w:val="none"/>
          <w:lang w:eastAsia="zh-CN"/>
        </w:rPr>
        <w:t>）</w:t>
      </w:r>
      <w:bookmarkEnd w:id="271"/>
      <w:bookmarkEnd w:id="272"/>
      <w:bookmarkEnd w:id="273"/>
      <w:bookmarkEnd w:id="274"/>
      <w:bookmarkEnd w:id="275"/>
      <w:bookmarkEnd w:id="276"/>
    </w:p>
    <w:p w14:paraId="4DCEBFC7">
      <w:pPr>
        <w:rPr>
          <w:rFonts w:hint="eastAsia" w:ascii="宋体" w:hAnsi="宋体" w:eastAsia="宋体" w:cs="宋体"/>
          <w:color w:val="auto"/>
          <w:kern w:val="32"/>
          <w:sz w:val="24"/>
          <w:highlight w:val="none"/>
        </w:rPr>
      </w:pPr>
    </w:p>
    <w:p w14:paraId="4460FF8C">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rPr>
      </w:pPr>
      <w:r>
        <w:rPr>
          <w:rFonts w:hint="eastAsia" w:ascii="宋体" w:hAnsi="宋体" w:eastAsia="宋体" w:cs="宋体"/>
          <w:color w:val="auto"/>
          <w:sz w:val="24"/>
          <w:highlight w:val="none"/>
        </w:rPr>
        <w:t>（满足招标文件要求）</w:t>
      </w:r>
    </w:p>
    <w:p w14:paraId="7EAB2273">
      <w:pPr>
        <w:spacing w:line="400" w:lineRule="exact"/>
        <w:ind w:firstLine="470" w:firstLineChars="196"/>
        <w:rPr>
          <w:rFonts w:hint="eastAsia" w:ascii="宋体" w:hAnsi="宋体" w:eastAsia="宋体" w:cs="宋体"/>
          <w:color w:val="auto"/>
          <w:kern w:val="32"/>
          <w:sz w:val="24"/>
          <w:highlight w:val="none"/>
        </w:rPr>
      </w:pPr>
    </w:p>
    <w:p w14:paraId="39A68DA3">
      <w:pPr>
        <w:pStyle w:val="2"/>
        <w:rPr>
          <w:rFonts w:hint="eastAsia" w:ascii="宋体" w:hAnsi="宋体" w:eastAsia="宋体" w:cs="宋体"/>
          <w:color w:val="auto"/>
          <w:kern w:val="32"/>
          <w:sz w:val="24"/>
          <w:highlight w:val="none"/>
        </w:rPr>
      </w:pPr>
    </w:p>
    <w:p w14:paraId="38498AE6">
      <w:pPr>
        <w:rPr>
          <w:rFonts w:hint="eastAsia" w:ascii="宋体" w:hAnsi="宋体" w:eastAsia="宋体" w:cs="宋体"/>
          <w:color w:val="auto"/>
          <w:kern w:val="32"/>
          <w:sz w:val="24"/>
          <w:highlight w:val="none"/>
        </w:rPr>
      </w:pPr>
    </w:p>
    <w:p w14:paraId="15C41808">
      <w:pPr>
        <w:pStyle w:val="2"/>
        <w:rPr>
          <w:rFonts w:hint="eastAsia" w:ascii="宋体" w:hAnsi="宋体" w:eastAsia="宋体" w:cs="宋体"/>
          <w:color w:val="auto"/>
          <w:highlight w:val="none"/>
        </w:rPr>
      </w:pPr>
    </w:p>
    <w:p w14:paraId="251C2E96">
      <w:pPr>
        <w:jc w:val="center"/>
        <w:rPr>
          <w:rFonts w:hint="eastAsia" w:ascii="宋体" w:hAnsi="宋体" w:eastAsia="宋体" w:cs="宋体"/>
          <w:b/>
          <w:bCs/>
          <w:color w:val="auto"/>
          <w:kern w:val="32"/>
          <w:sz w:val="32"/>
          <w:szCs w:val="32"/>
          <w:highlight w:val="none"/>
        </w:rPr>
      </w:pPr>
      <w:bookmarkStart w:id="277" w:name="_Toc321052843"/>
      <w:r>
        <w:rPr>
          <w:rFonts w:hint="eastAsia" w:ascii="宋体" w:hAnsi="宋体" w:eastAsia="宋体" w:cs="宋体"/>
          <w:b/>
          <w:bCs/>
          <w:color w:val="auto"/>
          <w:kern w:val="32"/>
          <w:sz w:val="32"/>
          <w:szCs w:val="32"/>
          <w:highlight w:val="none"/>
          <w:lang w:val="en-US" w:eastAsia="zh-CN"/>
        </w:rPr>
        <w:t>八</w:t>
      </w:r>
      <w:r>
        <w:rPr>
          <w:rFonts w:hint="eastAsia" w:ascii="宋体" w:hAnsi="宋体" w:eastAsia="宋体" w:cs="宋体"/>
          <w:b/>
          <w:bCs/>
          <w:color w:val="auto"/>
          <w:kern w:val="32"/>
          <w:sz w:val="32"/>
          <w:szCs w:val="32"/>
          <w:highlight w:val="none"/>
        </w:rPr>
        <w:t>、投标人需要的其他证明资料</w:t>
      </w:r>
      <w:bookmarkEnd w:id="277"/>
    </w:p>
    <w:p w14:paraId="34115C57">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rPr>
      </w:pPr>
      <w:bookmarkStart w:id="278" w:name="_Toc320518257"/>
      <w:bookmarkStart w:id="279" w:name="_Toc16750"/>
      <w:bookmarkStart w:id="280" w:name="_Toc320887584"/>
      <w:r>
        <w:rPr>
          <w:rFonts w:hint="eastAsia" w:ascii="宋体" w:hAnsi="宋体" w:eastAsia="宋体" w:cs="宋体"/>
          <w:color w:val="auto"/>
          <w:sz w:val="24"/>
          <w:highlight w:val="none"/>
        </w:rPr>
        <w:t>投标人认为需要提交的其他证明资料，</w:t>
      </w:r>
      <w:r>
        <w:rPr>
          <w:rFonts w:hint="eastAsia" w:ascii="宋体" w:hAnsi="宋体" w:eastAsia="宋体" w:cs="宋体"/>
          <w:color w:val="auto"/>
          <w:sz w:val="24"/>
          <w:highlight w:val="none"/>
          <w:lang w:val="en-US" w:eastAsia="zh-CN"/>
        </w:rPr>
        <w:t>如业绩证明等</w:t>
      </w:r>
      <w:bookmarkEnd w:id="278"/>
      <w:bookmarkEnd w:id="279"/>
      <w:bookmarkEnd w:id="280"/>
      <w:r>
        <w:rPr>
          <w:rFonts w:hint="eastAsia" w:ascii="宋体" w:hAnsi="宋体" w:eastAsia="宋体" w:cs="宋体"/>
          <w:color w:val="auto"/>
          <w:sz w:val="24"/>
          <w:highlight w:val="none"/>
          <w:lang w:val="en-US" w:eastAsia="zh-CN"/>
        </w:rPr>
        <w:t>。</w:t>
      </w:r>
    </w:p>
    <w:p w14:paraId="08F15D63">
      <w:pPr>
        <w:rPr>
          <w:rFonts w:hint="eastAsia" w:ascii="宋体" w:hAnsi="宋体" w:eastAsia="宋体" w:cs="宋体"/>
          <w:color w:val="auto"/>
          <w:highlight w:val="none"/>
        </w:rPr>
      </w:pPr>
    </w:p>
    <w:p w14:paraId="149FD40E">
      <w:pPr>
        <w:rPr>
          <w:rFonts w:hint="eastAsia" w:ascii="宋体" w:hAnsi="宋体" w:eastAsia="宋体" w:cs="宋体"/>
          <w:color w:val="auto"/>
          <w:highlight w:val="none"/>
        </w:rPr>
      </w:pPr>
    </w:p>
    <w:p w14:paraId="6B6FAF4E">
      <w:pPr>
        <w:pStyle w:val="2"/>
        <w:rPr>
          <w:rFonts w:hint="eastAsia" w:ascii="宋体" w:hAnsi="宋体" w:eastAsia="宋体" w:cs="宋体"/>
          <w:color w:val="auto"/>
          <w:highlight w:val="green"/>
        </w:rPr>
      </w:pPr>
    </w:p>
    <w:p w14:paraId="2860DEBB">
      <w:pPr>
        <w:rPr>
          <w:rFonts w:hint="eastAsia" w:ascii="宋体" w:hAnsi="宋体" w:eastAsia="宋体" w:cs="宋体"/>
          <w:color w:val="auto"/>
        </w:rPr>
      </w:pPr>
    </w:p>
    <w:p w14:paraId="5C6D7EF8">
      <w:pPr>
        <w:jc w:val="center"/>
        <w:rPr>
          <w:rFonts w:hint="eastAsia" w:ascii="宋体" w:hAnsi="宋体" w:eastAsia="宋体" w:cs="宋体"/>
          <w:b/>
          <w:bCs/>
          <w:color w:val="auto"/>
          <w:kern w:val="32"/>
          <w:sz w:val="32"/>
          <w:szCs w:val="32"/>
          <w:highlight w:val="none"/>
          <w:lang w:val="en-US" w:eastAsia="zh-CN"/>
        </w:rPr>
      </w:pPr>
      <w:bookmarkStart w:id="281" w:name="_Toc321052844"/>
      <w:r>
        <w:rPr>
          <w:rFonts w:hint="eastAsia" w:ascii="宋体" w:hAnsi="宋体" w:eastAsia="宋体" w:cs="宋体"/>
          <w:b/>
          <w:bCs/>
          <w:color w:val="auto"/>
          <w:kern w:val="32"/>
          <w:sz w:val="32"/>
          <w:szCs w:val="32"/>
          <w:highlight w:val="none"/>
          <w:lang w:val="en-US" w:eastAsia="zh-CN"/>
        </w:rPr>
        <w:t>九</w:t>
      </w:r>
      <w:r>
        <w:rPr>
          <w:rFonts w:hint="eastAsia" w:ascii="宋体" w:hAnsi="宋体" w:eastAsia="宋体" w:cs="宋体"/>
          <w:b/>
          <w:bCs/>
          <w:color w:val="auto"/>
          <w:kern w:val="32"/>
          <w:sz w:val="32"/>
          <w:szCs w:val="32"/>
          <w:highlight w:val="none"/>
        </w:rPr>
        <w:t>、</w:t>
      </w:r>
      <w:bookmarkEnd w:id="257"/>
      <w:bookmarkEnd w:id="281"/>
      <w:r>
        <w:rPr>
          <w:rFonts w:hint="eastAsia" w:ascii="宋体" w:hAnsi="宋体" w:eastAsia="宋体" w:cs="宋体"/>
          <w:b/>
          <w:bCs/>
          <w:color w:val="auto"/>
          <w:kern w:val="32"/>
          <w:sz w:val="32"/>
          <w:szCs w:val="32"/>
          <w:highlight w:val="none"/>
          <w:lang w:eastAsia="zh-CN"/>
        </w:rPr>
        <w:t>服务</w:t>
      </w:r>
      <w:r>
        <w:rPr>
          <w:rFonts w:hint="eastAsia" w:ascii="宋体" w:hAnsi="宋体" w:eastAsia="宋体" w:cs="宋体"/>
          <w:b/>
          <w:bCs/>
          <w:color w:val="auto"/>
          <w:kern w:val="32"/>
          <w:sz w:val="32"/>
          <w:szCs w:val="32"/>
          <w:highlight w:val="none"/>
        </w:rPr>
        <w:t>方案</w:t>
      </w:r>
    </w:p>
    <w:p w14:paraId="02842B35">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投标人根据项目相关情况说明及要求及评标办法自行编制服务实施方案，包含但不限于以下内容：</w:t>
      </w:r>
    </w:p>
    <w:p w14:paraId="46092EAD">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1、项目理解方案</w:t>
      </w:r>
    </w:p>
    <w:p w14:paraId="6F0F3203">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2、综合物业服务方案</w:t>
      </w:r>
    </w:p>
    <w:p w14:paraId="73B78A14">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3、卫生保洁管理服务方案</w:t>
      </w:r>
    </w:p>
    <w:p w14:paraId="0E449B55">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4、安全保卫方案</w:t>
      </w:r>
    </w:p>
    <w:p w14:paraId="1B3EBBF3">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5、消防与应急预案管理方案</w:t>
      </w:r>
    </w:p>
    <w:p w14:paraId="7FEFF10A">
      <w:pPr>
        <w:tabs>
          <w:tab w:val="left" w:pos="7920"/>
        </w:tabs>
        <w:spacing w:line="500" w:lineRule="exact"/>
        <w:ind w:left="-94" w:leftChars="-45" w:right="15" w:rightChars="7" w:firstLine="576" w:firstLineChars="24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6、人员培训与管理方案</w:t>
      </w:r>
    </w:p>
    <w:p w14:paraId="3F9AA3E0">
      <w:pPr>
        <w:rPr>
          <w:rFonts w:hint="eastAsia" w:ascii="宋体" w:hAnsi="宋体" w:eastAsia="宋体" w:cs="宋体"/>
          <w:color w:val="auto"/>
          <w:highlight w:val="none"/>
        </w:rPr>
      </w:pPr>
    </w:p>
    <w:p w14:paraId="644625B6">
      <w:pPr>
        <w:pStyle w:val="2"/>
        <w:spacing w:line="360" w:lineRule="auto"/>
        <w:jc w:val="center"/>
        <w:rPr>
          <w:rFonts w:hint="eastAsia" w:ascii="宋体" w:hAnsi="宋体" w:eastAsia="宋体" w:cs="宋体"/>
          <w:color w:val="auto"/>
        </w:rPr>
      </w:pPr>
      <w:r>
        <w:rPr>
          <w:rFonts w:hint="eastAsia" w:ascii="宋体" w:hAnsi="宋体" w:eastAsia="宋体" w:cs="宋体"/>
          <w:color w:val="auto"/>
        </w:rPr>
        <w:tab/>
      </w:r>
      <w:bookmarkStart w:id="282" w:name="_Toc13203"/>
      <w:bookmarkStart w:id="283" w:name="_Toc3004"/>
      <w:bookmarkStart w:id="284" w:name="_Toc14361"/>
      <w:bookmarkStart w:id="285" w:name="_Toc15714"/>
      <w:bookmarkStart w:id="286" w:name="_Toc29802"/>
      <w:bookmarkStart w:id="287" w:name="_Toc6808"/>
      <w:r>
        <w:rPr>
          <w:rFonts w:hint="eastAsia" w:ascii="宋体" w:hAnsi="宋体" w:eastAsia="宋体" w:cs="宋体"/>
          <w:color w:val="auto"/>
        </w:rPr>
        <w:t>第六章  评标办法</w:t>
      </w:r>
      <w:bookmarkEnd w:id="282"/>
      <w:bookmarkEnd w:id="283"/>
      <w:bookmarkEnd w:id="284"/>
      <w:bookmarkEnd w:id="285"/>
      <w:bookmarkEnd w:id="286"/>
      <w:bookmarkEnd w:id="287"/>
    </w:p>
    <w:p w14:paraId="44F46F06">
      <w:pPr>
        <w:tabs>
          <w:tab w:val="left" w:pos="7920"/>
        </w:tabs>
        <w:spacing w:line="500" w:lineRule="exact"/>
        <w:ind w:right="15" w:rightChars="7"/>
        <w:rPr>
          <w:rFonts w:hint="eastAsia" w:ascii="宋体" w:hAnsi="宋体" w:eastAsia="宋体" w:cs="宋体"/>
          <w:b/>
          <w:color w:val="auto"/>
          <w:sz w:val="24"/>
        </w:rPr>
      </w:pPr>
      <w:bookmarkStart w:id="288" w:name="_Toc321052847"/>
      <w:r>
        <w:rPr>
          <w:rFonts w:hint="eastAsia" w:ascii="宋体" w:hAnsi="宋体" w:eastAsia="宋体" w:cs="宋体"/>
          <w:b/>
          <w:color w:val="auto"/>
          <w:kern w:val="32"/>
        </w:rPr>
        <w:t>一</w:t>
      </w:r>
      <w:r>
        <w:rPr>
          <w:rFonts w:hint="eastAsia" w:ascii="宋体" w:hAnsi="宋体" w:eastAsia="宋体" w:cs="宋体"/>
          <w:b/>
          <w:color w:val="auto"/>
          <w:sz w:val="24"/>
        </w:rPr>
        <w:t>、</w:t>
      </w:r>
      <w:bookmarkEnd w:id="288"/>
      <w:r>
        <w:rPr>
          <w:rFonts w:hint="eastAsia" w:ascii="宋体" w:hAnsi="宋体" w:eastAsia="宋体" w:cs="宋体"/>
          <w:b/>
          <w:color w:val="auto"/>
          <w:sz w:val="24"/>
        </w:rPr>
        <w:t>相关说明</w:t>
      </w:r>
    </w:p>
    <w:p w14:paraId="2E0AB359">
      <w:pPr>
        <w:pStyle w:val="73"/>
        <w:spacing w:line="500" w:lineRule="exact"/>
        <w:ind w:left="-94" w:leftChars="-45" w:right="15" w:rightChars="7" w:firstLine="576" w:firstLineChars="24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本次招标评标采用综合评估法；评分的主要因素是：投标报价、</w:t>
      </w:r>
      <w:r>
        <w:rPr>
          <w:rFonts w:hint="eastAsia" w:ascii="宋体" w:hAnsi="宋体" w:eastAsia="宋体" w:cs="宋体"/>
          <w:color w:val="auto"/>
          <w:sz w:val="24"/>
          <w:highlight w:val="none"/>
          <w:lang w:eastAsia="zh-CN"/>
        </w:rPr>
        <w:t>技术评审</w:t>
      </w:r>
      <w:r>
        <w:rPr>
          <w:rFonts w:hint="eastAsia" w:ascii="宋体" w:hAnsi="宋体" w:eastAsia="宋体" w:cs="宋体"/>
          <w:color w:val="auto"/>
          <w:sz w:val="24"/>
          <w:highlight w:val="none"/>
        </w:rPr>
        <w:t>、</w:t>
      </w:r>
      <w:r>
        <w:rPr>
          <w:rStyle w:val="40"/>
          <w:rFonts w:hint="eastAsia" w:ascii="宋体" w:hAnsi="宋体" w:eastAsia="宋体" w:cs="宋体"/>
          <w:color w:val="auto"/>
          <w:sz w:val="24"/>
          <w:highlight w:val="none"/>
        </w:rPr>
        <w:t>商务评审</w:t>
      </w:r>
      <w:r>
        <w:rPr>
          <w:rFonts w:hint="eastAsia" w:ascii="宋体" w:hAnsi="宋体" w:eastAsia="宋体" w:cs="宋体"/>
          <w:color w:val="auto"/>
          <w:sz w:val="24"/>
          <w:highlight w:val="none"/>
        </w:rPr>
        <w:t>。具体评审标准详见附件一。</w:t>
      </w:r>
    </w:p>
    <w:p w14:paraId="220591AF">
      <w:pPr>
        <w:tabs>
          <w:tab w:val="left" w:pos="7920"/>
        </w:tabs>
        <w:spacing w:line="500" w:lineRule="exact"/>
        <w:ind w:right="15" w:rightChars="7"/>
        <w:rPr>
          <w:rFonts w:hint="eastAsia" w:ascii="宋体" w:hAnsi="宋体" w:eastAsia="宋体" w:cs="宋体"/>
          <w:b/>
          <w:color w:val="auto"/>
          <w:kern w:val="32"/>
          <w:sz w:val="24"/>
          <w:highlight w:val="none"/>
        </w:rPr>
      </w:pPr>
      <w:r>
        <w:rPr>
          <w:rFonts w:hint="eastAsia" w:ascii="宋体" w:hAnsi="宋体" w:eastAsia="宋体" w:cs="宋体"/>
          <w:b/>
          <w:color w:val="auto"/>
          <w:kern w:val="32"/>
          <w:sz w:val="24"/>
          <w:highlight w:val="none"/>
        </w:rPr>
        <w:t>二、评标程序</w:t>
      </w:r>
    </w:p>
    <w:p w14:paraId="6F94F7AB">
      <w:pPr>
        <w:tabs>
          <w:tab w:val="left" w:pos="7920"/>
        </w:tabs>
        <w:spacing w:line="500" w:lineRule="exact"/>
        <w:ind w:right="15" w:rightChars="7"/>
        <w:rPr>
          <w:rFonts w:hint="eastAsia" w:ascii="宋体" w:hAnsi="宋体" w:eastAsia="宋体" w:cs="宋体"/>
          <w:b/>
          <w:color w:val="auto"/>
          <w:kern w:val="32"/>
          <w:sz w:val="24"/>
          <w:lang w:bidi="en-US"/>
        </w:rPr>
      </w:pPr>
      <w:r>
        <w:rPr>
          <w:rFonts w:hint="eastAsia" w:ascii="宋体" w:hAnsi="宋体" w:eastAsia="宋体" w:cs="宋体"/>
          <w:color w:val="auto"/>
          <w:kern w:val="32"/>
          <w:sz w:val="24"/>
        </w:rPr>
        <w:t xml:space="preserve">   </w:t>
      </w:r>
      <w:r>
        <w:rPr>
          <w:rFonts w:hint="eastAsia" w:ascii="宋体" w:hAnsi="宋体" w:eastAsia="宋体" w:cs="宋体"/>
          <w:b/>
          <w:color w:val="auto"/>
          <w:kern w:val="32"/>
          <w:sz w:val="24"/>
        </w:rPr>
        <w:t>1、</w:t>
      </w:r>
      <w:r>
        <w:rPr>
          <w:rFonts w:hint="eastAsia" w:ascii="宋体" w:hAnsi="宋体" w:eastAsia="宋体" w:cs="宋体"/>
          <w:b/>
          <w:color w:val="auto"/>
          <w:kern w:val="32"/>
          <w:sz w:val="24"/>
          <w:lang w:bidi="en-US"/>
        </w:rPr>
        <w:t>初步评审</w:t>
      </w:r>
    </w:p>
    <w:p w14:paraId="20F39AAB">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初步审查分为资格性和符合性审查。</w:t>
      </w:r>
    </w:p>
    <w:p w14:paraId="3C458DF9">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（一）资格性审查，确定投标人是否具备投标资格。投标人无资格或无能力履行合同，其投标无效（★）。</w:t>
      </w:r>
    </w:p>
    <w:p w14:paraId="4AADE329">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二）符合性审查，确定投标人是否对本文件的实质性要求作出响应，实质性响应是指对本文件的规定，没有重大偏离或保留。非实质性响应的投标人将被拒绝。重大偏离或保留是指将会影响到本文件中标的清单及技术要求，或限制了招标人权力和投标人义务的规定，而纠正这些偏离将影响到其他投标人的公平竞争地位。</w:t>
      </w:r>
    </w:p>
    <w:p w14:paraId="2F0F08F6">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（三）投标人有下列情形之一的，视为无效投标：</w:t>
      </w:r>
    </w:p>
    <w:p w14:paraId="0F5C805F">
      <w:pPr>
        <w:tabs>
          <w:tab w:val="left" w:pos="7920"/>
        </w:tabs>
        <w:spacing w:line="500" w:lineRule="exact"/>
        <w:ind w:right="15" w:rightChars="7" w:firstLine="480" w:firstLineChars="200"/>
        <w:rPr>
          <w:rFonts w:hint="eastAsia" w:ascii="宋体" w:hAnsi="宋体" w:eastAsia="宋体" w:cs="宋体"/>
          <w:color w:val="auto"/>
          <w:sz w:val="24"/>
        </w:rPr>
      </w:pPr>
      <w:r>
        <w:rPr>
          <w:rFonts w:hint="eastAsia" w:ascii="宋体" w:hAnsi="宋体" w:eastAsia="宋体" w:cs="宋体"/>
          <w:color w:val="auto"/>
          <w:sz w:val="24"/>
        </w:rPr>
        <w:t>（1）低于投标底价报价的；</w:t>
      </w:r>
    </w:p>
    <w:p w14:paraId="2C5B009F">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（2）投标文件与事实不符的；</w:t>
      </w:r>
    </w:p>
    <w:p w14:paraId="2E6C458E">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（3）经评标委员会一致认定为重大偏离的；</w:t>
      </w:r>
    </w:p>
    <w:p w14:paraId="4426226D">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（4）不符合本招标文件中规定的其他实质性要求（标注★）的；</w:t>
      </w:r>
    </w:p>
    <w:p w14:paraId="32D9F496">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（5）投标文件未按要求签字或盖章的；</w:t>
      </w:r>
    </w:p>
    <w:p w14:paraId="5C2924DB">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（6）未按要求提交投标保证金的；</w:t>
      </w:r>
    </w:p>
    <w:p w14:paraId="677A5037">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（7）不符合法律、法规有关规定的。</w:t>
      </w:r>
    </w:p>
    <w:p w14:paraId="3995D934">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（四）出现下列情形之一的，本项目作废标处理，重新组织招标：</w:t>
      </w:r>
    </w:p>
    <w:p w14:paraId="09BC81F6">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 xml:space="preserve"> 符合条件的投标人或者对招标文件作实质响应的投标人不足三家的且评标委员会认为不具备竞争性的；</w:t>
      </w:r>
    </w:p>
    <w:p w14:paraId="04D5D87F">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（五）对资格性符合性审查合格的投标人进行咨询与答复。</w:t>
      </w:r>
    </w:p>
    <w:p w14:paraId="281A925F">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（1）对投标文件中含义不明确、同类问题表述不一致或者有明显文字和计算错误的内容，评委会可以书面形式进行咨询。</w:t>
      </w:r>
    </w:p>
    <w:p w14:paraId="10E93130">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（2）评委阅读招标文件、投标书，各自独立记录通过审查的各投标书情况，分别提出需咨询的问题。主任评委汇总整理形成书面咨询问题，发给投标人。</w:t>
      </w:r>
    </w:p>
    <w:p w14:paraId="51B015BA">
      <w:pPr>
        <w:tabs>
          <w:tab w:val="left" w:pos="7920"/>
        </w:tabs>
        <w:spacing w:line="500" w:lineRule="exact"/>
        <w:ind w:left="-94" w:leftChars="-45" w:right="15" w:rightChars="7" w:firstLine="576" w:firstLineChars="240"/>
        <w:rPr>
          <w:rFonts w:hint="eastAsia" w:ascii="宋体" w:hAnsi="宋体" w:eastAsia="宋体" w:cs="宋体"/>
          <w:color w:val="auto"/>
          <w:sz w:val="24"/>
        </w:rPr>
      </w:pPr>
      <w:r>
        <w:rPr>
          <w:rFonts w:hint="eastAsia" w:ascii="宋体" w:hAnsi="宋体" w:eastAsia="宋体" w:cs="宋体"/>
          <w:color w:val="auto"/>
          <w:sz w:val="24"/>
        </w:rPr>
        <w:t>（3）投标人对咨询事项作出书面答复，按规定时间报评委会。投标人的答复不得超出投标书的范围或者改变投标书的实质性内容。</w:t>
      </w:r>
    </w:p>
    <w:p w14:paraId="656520DE">
      <w:pPr>
        <w:tabs>
          <w:tab w:val="left" w:pos="7920"/>
        </w:tabs>
        <w:spacing w:line="500" w:lineRule="exact"/>
        <w:ind w:right="15" w:rightChars="7" w:firstLine="472" w:firstLineChars="196"/>
        <w:rPr>
          <w:rFonts w:hint="eastAsia" w:ascii="宋体" w:hAnsi="宋体" w:eastAsia="宋体" w:cs="宋体"/>
          <w:b/>
          <w:color w:val="auto"/>
          <w:kern w:val="32"/>
          <w:sz w:val="24"/>
        </w:rPr>
      </w:pPr>
      <w:r>
        <w:rPr>
          <w:rFonts w:hint="eastAsia" w:ascii="宋体" w:hAnsi="宋体" w:eastAsia="宋体" w:cs="宋体"/>
          <w:b/>
          <w:color w:val="auto"/>
          <w:kern w:val="32"/>
          <w:sz w:val="24"/>
        </w:rPr>
        <w:t>2、详细评审</w:t>
      </w:r>
    </w:p>
    <w:p w14:paraId="76FD07E5">
      <w:pPr>
        <w:tabs>
          <w:tab w:val="left" w:pos="7920"/>
        </w:tabs>
        <w:spacing w:line="500" w:lineRule="exact"/>
        <w:ind w:right="15" w:rightChars="7" w:firstLine="480" w:firstLineChars="200"/>
        <w:rPr>
          <w:rFonts w:hint="eastAsia" w:ascii="宋体" w:hAnsi="宋体" w:eastAsia="宋体" w:cs="宋体"/>
          <w:color w:val="auto"/>
          <w:kern w:val="32"/>
          <w:sz w:val="24"/>
          <w:lang w:bidi="en-US"/>
        </w:rPr>
      </w:pPr>
      <w:r>
        <w:rPr>
          <w:rFonts w:hint="eastAsia" w:ascii="宋体" w:hAnsi="宋体" w:eastAsia="宋体" w:cs="宋体"/>
          <w:color w:val="auto"/>
          <w:kern w:val="32"/>
          <w:sz w:val="24"/>
          <w:lang w:bidi="en-US"/>
        </w:rPr>
        <w:t>2.1评标委员会按照评标办法规定的量化因素和分值进行打分，并计算出综合评估得分。</w:t>
      </w:r>
    </w:p>
    <w:p w14:paraId="366F3614">
      <w:pPr>
        <w:tabs>
          <w:tab w:val="left" w:pos="7920"/>
        </w:tabs>
        <w:spacing w:line="500" w:lineRule="exact"/>
        <w:ind w:right="15" w:rightChars="7" w:firstLine="480" w:firstLineChars="200"/>
        <w:rPr>
          <w:rFonts w:hint="eastAsia" w:ascii="宋体" w:hAnsi="宋体" w:eastAsia="宋体" w:cs="宋体"/>
          <w:color w:val="auto"/>
          <w:kern w:val="32"/>
          <w:sz w:val="24"/>
        </w:rPr>
      </w:pPr>
      <w:r>
        <w:rPr>
          <w:rFonts w:hint="eastAsia" w:ascii="宋体" w:hAnsi="宋体" w:eastAsia="宋体" w:cs="宋体"/>
          <w:color w:val="auto"/>
          <w:kern w:val="32"/>
          <w:sz w:val="24"/>
          <w:lang w:bidi="en-US"/>
        </w:rPr>
        <w:t>2.2评分分值计算保留小数点后两位，小数点后第三位“四舍五入”。</w:t>
      </w:r>
    </w:p>
    <w:p w14:paraId="2BA9F3A1">
      <w:pPr>
        <w:tabs>
          <w:tab w:val="left" w:pos="7920"/>
        </w:tabs>
        <w:spacing w:line="500" w:lineRule="exact"/>
        <w:ind w:right="15" w:rightChars="7" w:firstLine="482" w:firstLineChars="200"/>
        <w:rPr>
          <w:rFonts w:hint="eastAsia" w:ascii="宋体" w:hAnsi="宋体" w:eastAsia="宋体" w:cs="宋体"/>
          <w:b/>
          <w:bCs/>
          <w:color w:val="auto"/>
          <w:kern w:val="32"/>
          <w:sz w:val="24"/>
          <w:lang w:bidi="en-US"/>
        </w:rPr>
      </w:pPr>
      <w:r>
        <w:rPr>
          <w:rFonts w:hint="eastAsia" w:ascii="宋体" w:hAnsi="宋体" w:eastAsia="宋体" w:cs="宋体"/>
          <w:b/>
          <w:bCs/>
          <w:color w:val="auto"/>
          <w:kern w:val="32"/>
          <w:sz w:val="24"/>
          <w:lang w:bidi="en-US"/>
        </w:rPr>
        <w:t>3、投标文件的澄清、说明或补正</w:t>
      </w:r>
    </w:p>
    <w:p w14:paraId="77651CB5">
      <w:pPr>
        <w:tabs>
          <w:tab w:val="left" w:pos="7920"/>
        </w:tabs>
        <w:spacing w:line="500" w:lineRule="exact"/>
        <w:ind w:left="-94" w:leftChars="-45" w:right="15" w:rightChars="7" w:firstLine="576" w:firstLineChars="240"/>
        <w:rPr>
          <w:rFonts w:hint="eastAsia" w:ascii="宋体" w:hAnsi="宋体" w:eastAsia="宋体" w:cs="宋体"/>
          <w:bCs/>
          <w:color w:val="auto"/>
          <w:kern w:val="32"/>
          <w:sz w:val="24"/>
          <w:lang w:bidi="en-US"/>
        </w:rPr>
      </w:pPr>
      <w:r>
        <w:rPr>
          <w:rFonts w:hint="eastAsia" w:ascii="宋体" w:hAnsi="宋体" w:eastAsia="宋体" w:cs="宋体"/>
          <w:bCs/>
          <w:color w:val="auto"/>
          <w:kern w:val="32"/>
          <w:sz w:val="24"/>
          <w:lang w:bidi="en-US"/>
        </w:rPr>
        <w:t>3.1 在评标过程中，评标委员会可以书面形式要求投标人对所提交投标文件中不明确的内容进行书面澄清或说明，或者对细微偏差进行补正。评标委员会不接受投标人主动提出的澄清、说明或补正。</w:t>
      </w:r>
    </w:p>
    <w:p w14:paraId="4381DE89">
      <w:pPr>
        <w:tabs>
          <w:tab w:val="left" w:pos="7920"/>
        </w:tabs>
        <w:spacing w:line="500" w:lineRule="exact"/>
        <w:ind w:left="-94" w:leftChars="-45" w:right="15" w:rightChars="7" w:firstLine="576" w:firstLineChars="240"/>
        <w:rPr>
          <w:rFonts w:hint="eastAsia" w:ascii="宋体" w:hAnsi="宋体" w:eastAsia="宋体" w:cs="宋体"/>
          <w:bCs/>
          <w:color w:val="auto"/>
          <w:kern w:val="32"/>
          <w:sz w:val="24"/>
          <w:lang w:bidi="en-US"/>
        </w:rPr>
      </w:pPr>
      <w:r>
        <w:rPr>
          <w:rFonts w:hint="eastAsia" w:ascii="宋体" w:hAnsi="宋体" w:eastAsia="宋体" w:cs="宋体"/>
          <w:bCs/>
          <w:color w:val="auto"/>
          <w:kern w:val="32"/>
          <w:sz w:val="24"/>
          <w:lang w:bidi="en-US"/>
        </w:rPr>
        <w:t>3.2 澄清、说明和补正不得改变投标文件的实质性内容（算术性错误修正的除外）。投标人的书面澄清、说明和补正属于投标文件的组成部分。</w:t>
      </w:r>
    </w:p>
    <w:p w14:paraId="08333950">
      <w:pPr>
        <w:tabs>
          <w:tab w:val="left" w:pos="7920"/>
        </w:tabs>
        <w:spacing w:line="500" w:lineRule="exact"/>
        <w:ind w:right="15" w:rightChars="7" w:firstLine="480" w:firstLineChars="200"/>
        <w:rPr>
          <w:rFonts w:hint="eastAsia" w:ascii="宋体" w:hAnsi="宋体" w:eastAsia="宋体" w:cs="宋体"/>
          <w:color w:val="auto"/>
          <w:kern w:val="32"/>
          <w:sz w:val="24"/>
          <w:lang w:bidi="en-US"/>
        </w:rPr>
      </w:pPr>
      <w:r>
        <w:rPr>
          <w:rFonts w:hint="eastAsia" w:ascii="宋体" w:hAnsi="宋体" w:eastAsia="宋体" w:cs="宋体"/>
          <w:color w:val="auto"/>
          <w:kern w:val="32"/>
          <w:sz w:val="24"/>
          <w:lang w:bidi="en-US"/>
        </w:rPr>
        <w:t>3.3 评标委员会对投标人提交的澄清、说明或补正有疑问的，可以要求投标人进一步澄清、说明或补正，直至满足评标委员会的要求。</w:t>
      </w:r>
    </w:p>
    <w:p w14:paraId="63F45978">
      <w:pPr>
        <w:tabs>
          <w:tab w:val="left" w:pos="7920"/>
        </w:tabs>
        <w:spacing w:line="500" w:lineRule="exact"/>
        <w:ind w:right="15" w:rightChars="7" w:firstLine="482" w:firstLineChars="200"/>
        <w:rPr>
          <w:rFonts w:hint="eastAsia" w:ascii="宋体" w:hAnsi="宋体" w:eastAsia="宋体" w:cs="宋体"/>
          <w:b/>
          <w:color w:val="auto"/>
          <w:kern w:val="32"/>
          <w:sz w:val="24"/>
          <w:lang w:bidi="en-US"/>
        </w:rPr>
      </w:pPr>
      <w:r>
        <w:rPr>
          <w:rFonts w:hint="eastAsia" w:ascii="宋体" w:hAnsi="宋体" w:eastAsia="宋体" w:cs="宋体"/>
          <w:b/>
          <w:color w:val="auto"/>
          <w:kern w:val="32"/>
          <w:sz w:val="24"/>
          <w:lang w:bidi="en-US"/>
        </w:rPr>
        <w:t>4、评标结果</w:t>
      </w:r>
    </w:p>
    <w:p w14:paraId="38F5ABF8">
      <w:pPr>
        <w:tabs>
          <w:tab w:val="left" w:pos="7920"/>
        </w:tabs>
        <w:spacing w:line="500" w:lineRule="exact"/>
        <w:ind w:right="15" w:rightChars="7" w:firstLine="480" w:firstLineChars="200"/>
        <w:rPr>
          <w:rFonts w:hint="eastAsia" w:ascii="宋体" w:hAnsi="宋体" w:eastAsia="宋体" w:cs="宋体"/>
          <w:color w:val="auto"/>
          <w:kern w:val="32"/>
          <w:sz w:val="24"/>
          <w:lang w:bidi="en-US"/>
        </w:rPr>
      </w:pPr>
      <w:r>
        <w:rPr>
          <w:rFonts w:hint="eastAsia" w:ascii="宋体" w:hAnsi="宋体" w:eastAsia="宋体" w:cs="宋体"/>
          <w:color w:val="auto"/>
          <w:kern w:val="32"/>
          <w:sz w:val="24"/>
          <w:lang w:bidi="en-US"/>
        </w:rPr>
        <w:t>评标委员会应当根据详细评审的结果对投标人进行排序，2个及以上投标人综合得分相同时，按照其投标报价总得分从高至低顺序进行排序。由评标委员会推荐中标候选人，按照投标人排序推荐1-3 名中标候选人，并向招标人提交书面评标报告。</w:t>
      </w:r>
    </w:p>
    <w:p w14:paraId="10C45A6E">
      <w:pPr>
        <w:tabs>
          <w:tab w:val="left" w:pos="7920"/>
        </w:tabs>
        <w:spacing w:line="500" w:lineRule="exact"/>
        <w:ind w:right="15" w:rightChars="7" w:firstLine="480" w:firstLineChars="200"/>
        <w:rPr>
          <w:rFonts w:hint="eastAsia" w:ascii="宋体" w:hAnsi="宋体" w:eastAsia="宋体" w:cs="宋体"/>
          <w:color w:val="auto"/>
          <w:kern w:val="32"/>
          <w:sz w:val="24"/>
          <w:lang w:bidi="en-US"/>
        </w:rPr>
      </w:pPr>
    </w:p>
    <w:p w14:paraId="370FC086">
      <w:pPr>
        <w:tabs>
          <w:tab w:val="left" w:pos="7920"/>
        </w:tabs>
        <w:spacing w:line="500" w:lineRule="exact"/>
        <w:ind w:right="15" w:rightChars="7" w:firstLine="480" w:firstLineChars="200"/>
        <w:rPr>
          <w:rFonts w:hint="eastAsia" w:ascii="宋体" w:hAnsi="宋体" w:eastAsia="宋体" w:cs="宋体"/>
          <w:color w:val="auto"/>
          <w:kern w:val="32"/>
          <w:sz w:val="24"/>
          <w:lang w:bidi="en-US"/>
        </w:rPr>
      </w:pPr>
    </w:p>
    <w:p w14:paraId="30CEF1F8">
      <w:pPr>
        <w:ind w:firstLine="120" w:firstLineChars="50"/>
        <w:rPr>
          <w:rFonts w:hint="eastAsia" w:ascii="宋体" w:hAnsi="宋体" w:eastAsia="宋体" w:cs="宋体"/>
          <w:b/>
          <w:bCs/>
          <w:color w:val="auto"/>
          <w:kern w:val="32"/>
          <w:sz w:val="24"/>
        </w:rPr>
      </w:pPr>
    </w:p>
    <w:p w14:paraId="77509827">
      <w:pPr>
        <w:ind w:firstLine="120" w:firstLineChars="50"/>
        <w:rPr>
          <w:rFonts w:hint="eastAsia" w:ascii="宋体" w:hAnsi="宋体" w:eastAsia="宋体" w:cs="宋体"/>
          <w:b/>
          <w:bCs/>
          <w:color w:val="auto"/>
          <w:kern w:val="32"/>
          <w:sz w:val="24"/>
        </w:rPr>
      </w:pPr>
    </w:p>
    <w:p w14:paraId="37CCDFBF">
      <w:pPr>
        <w:rPr>
          <w:rFonts w:hint="eastAsia" w:ascii="宋体" w:hAnsi="宋体" w:eastAsia="宋体" w:cs="宋体"/>
          <w:b/>
          <w:bCs/>
          <w:color w:val="auto"/>
          <w:kern w:val="32"/>
          <w:sz w:val="24"/>
        </w:rPr>
      </w:pPr>
    </w:p>
    <w:p w14:paraId="164047E8">
      <w:pPr>
        <w:rPr>
          <w:rFonts w:hint="eastAsia" w:ascii="宋体" w:hAnsi="宋体" w:eastAsia="宋体" w:cs="宋体"/>
          <w:b/>
          <w:bCs/>
          <w:color w:val="auto"/>
          <w:kern w:val="32"/>
          <w:sz w:val="24"/>
        </w:rPr>
      </w:pPr>
    </w:p>
    <w:p w14:paraId="5E48824B">
      <w:pPr>
        <w:rPr>
          <w:rFonts w:hint="eastAsia" w:ascii="宋体" w:hAnsi="宋体" w:eastAsia="宋体" w:cs="宋体"/>
          <w:b/>
          <w:bCs/>
          <w:color w:val="auto"/>
          <w:kern w:val="32"/>
          <w:sz w:val="24"/>
        </w:rPr>
      </w:pPr>
    </w:p>
    <w:p w14:paraId="7D62978B">
      <w:pPr>
        <w:rPr>
          <w:rFonts w:hint="eastAsia" w:ascii="宋体" w:hAnsi="宋体" w:eastAsia="宋体" w:cs="宋体"/>
          <w:b/>
          <w:bCs/>
          <w:color w:val="auto"/>
          <w:kern w:val="32"/>
          <w:sz w:val="24"/>
        </w:rPr>
      </w:pPr>
    </w:p>
    <w:p w14:paraId="2DA2896A">
      <w:pPr>
        <w:rPr>
          <w:rFonts w:hint="eastAsia" w:ascii="宋体" w:hAnsi="宋体" w:eastAsia="宋体" w:cs="宋体"/>
          <w:b/>
          <w:bCs/>
          <w:color w:val="auto"/>
          <w:kern w:val="32"/>
          <w:sz w:val="24"/>
        </w:rPr>
      </w:pPr>
      <w:r>
        <w:rPr>
          <w:rFonts w:hint="eastAsia" w:ascii="宋体" w:hAnsi="宋体" w:eastAsia="宋体" w:cs="宋体"/>
          <w:b/>
          <w:bCs/>
          <w:color w:val="auto"/>
          <w:kern w:val="32"/>
          <w:sz w:val="24"/>
        </w:rPr>
        <w:t>附件</w:t>
      </w:r>
      <w:r>
        <w:rPr>
          <w:rFonts w:hint="eastAsia" w:ascii="宋体" w:hAnsi="宋体" w:eastAsia="宋体" w:cs="宋体"/>
          <w:b/>
          <w:bCs/>
          <w:color w:val="auto"/>
          <w:kern w:val="32"/>
          <w:sz w:val="24"/>
          <w:lang w:val="en-US" w:eastAsia="zh-CN"/>
        </w:rPr>
        <w:t>一</w:t>
      </w:r>
      <w:r>
        <w:rPr>
          <w:rFonts w:hint="eastAsia" w:ascii="宋体" w:hAnsi="宋体" w:eastAsia="宋体" w:cs="宋体"/>
          <w:b/>
          <w:bCs/>
          <w:color w:val="auto"/>
          <w:kern w:val="32"/>
          <w:sz w:val="24"/>
        </w:rPr>
        <w:t>：</w:t>
      </w:r>
    </w:p>
    <w:p w14:paraId="6B9E099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1.2.3权值的取值范围见下表</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本采购项目的权值为：</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7"/>
        <w:gridCol w:w="2365"/>
        <w:gridCol w:w="3790"/>
      </w:tblGrid>
      <w:tr w14:paraId="379F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7DD47F54">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序号</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0E6286DB">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项目</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09BE32D5">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权值的取值</w:t>
            </w:r>
          </w:p>
        </w:tc>
      </w:tr>
      <w:tr w14:paraId="5C4D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5CC8CED">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1</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C15FA16">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价格</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07696E9">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lang w:eastAsia="zh-CN"/>
              </w:rPr>
              <w:t>3</w:t>
            </w:r>
            <w:r>
              <w:rPr>
                <w:rStyle w:val="40"/>
                <w:rFonts w:hint="eastAsia" w:ascii="宋体" w:hAnsi="宋体" w:eastAsia="宋体" w:cs="宋体"/>
                <w:b w:val="0"/>
                <w:color w:val="auto"/>
                <w:spacing w:val="0"/>
                <w:w w:val="100"/>
                <w:sz w:val="21"/>
                <w:szCs w:val="24"/>
                <w:highlight w:val="none"/>
                <w:lang w:val="en-US" w:eastAsia="zh-CN"/>
              </w:rPr>
              <w:t>0</w:t>
            </w:r>
            <w:r>
              <w:rPr>
                <w:rStyle w:val="40"/>
                <w:rFonts w:hint="eastAsia" w:ascii="宋体" w:hAnsi="宋体" w:eastAsia="宋体" w:cs="宋体"/>
                <w:b w:val="0"/>
                <w:color w:val="auto"/>
                <w:spacing w:val="0"/>
                <w:w w:val="100"/>
                <w:sz w:val="21"/>
                <w:szCs w:val="24"/>
                <w:highlight w:val="none"/>
              </w:rPr>
              <w:t>%</w:t>
            </w:r>
          </w:p>
        </w:tc>
      </w:tr>
      <w:tr w14:paraId="5404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AC1D705">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2</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3ADCD6A3">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技术</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BE5E4A9">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lang w:val="en-US" w:eastAsia="zh-CN"/>
              </w:rPr>
              <w:t>50</w:t>
            </w:r>
            <w:r>
              <w:rPr>
                <w:rStyle w:val="40"/>
                <w:rFonts w:hint="eastAsia" w:ascii="宋体" w:hAnsi="宋体" w:eastAsia="宋体" w:cs="宋体"/>
                <w:b w:val="0"/>
                <w:color w:val="auto"/>
                <w:spacing w:val="0"/>
                <w:w w:val="100"/>
                <w:sz w:val="21"/>
                <w:szCs w:val="24"/>
                <w:highlight w:val="none"/>
              </w:rPr>
              <w:t>%</w:t>
            </w:r>
          </w:p>
        </w:tc>
      </w:tr>
      <w:tr w14:paraId="746F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CB366C2">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3</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D3E6146">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商务</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789EE285">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lang w:val="en-US" w:eastAsia="zh-CN"/>
              </w:rPr>
              <w:t>20</w:t>
            </w:r>
            <w:r>
              <w:rPr>
                <w:rStyle w:val="40"/>
                <w:rFonts w:hint="eastAsia" w:ascii="宋体" w:hAnsi="宋体" w:eastAsia="宋体" w:cs="宋体"/>
                <w:b w:val="0"/>
                <w:color w:val="auto"/>
                <w:spacing w:val="0"/>
                <w:w w:val="100"/>
                <w:sz w:val="21"/>
                <w:szCs w:val="24"/>
                <w:highlight w:val="none"/>
              </w:rPr>
              <w:t>%</w:t>
            </w:r>
          </w:p>
        </w:tc>
      </w:tr>
      <w:tr w14:paraId="6198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9764B3B">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4</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6ED66F36">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其他</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20560DA">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0%</w:t>
            </w:r>
          </w:p>
        </w:tc>
      </w:tr>
      <w:tr w14:paraId="78A2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7F99412">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Σ(1+2+3+4)=1</w:t>
            </w:r>
          </w:p>
        </w:tc>
        <w:tc>
          <w:tcPr>
            <w:tcW w:w="0" w:type="auto"/>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6E4B828C">
            <w:pPr>
              <w:pStyle w:val="69"/>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100%</w:t>
            </w:r>
          </w:p>
        </w:tc>
      </w:tr>
    </w:tbl>
    <w:p w14:paraId="5DD345BA">
      <w:pPr>
        <w:pStyle w:val="66"/>
        <w:jc w:val="center"/>
        <w:rPr>
          <w:rStyle w:val="40"/>
          <w:rFonts w:hint="eastAsia" w:ascii="宋体" w:hAnsi="宋体" w:eastAsia="宋体" w:cs="宋体"/>
          <w:color w:val="auto"/>
          <w:sz w:val="40"/>
          <w:highlight w:val="none"/>
        </w:rPr>
      </w:pPr>
    </w:p>
    <w:p w14:paraId="0F6A568F">
      <w:pPr>
        <w:pStyle w:val="70"/>
        <w:jc w:val="center"/>
        <w:rPr>
          <w:rStyle w:val="40"/>
          <w:rFonts w:hint="eastAsia" w:ascii="宋体" w:hAnsi="宋体" w:eastAsia="宋体" w:cs="宋体"/>
          <w:color w:val="auto"/>
          <w:sz w:val="40"/>
          <w:highlight w:val="none"/>
        </w:rPr>
      </w:pPr>
      <w:r>
        <w:rPr>
          <w:rStyle w:val="40"/>
          <w:rFonts w:hint="eastAsia" w:ascii="宋体" w:hAnsi="宋体" w:eastAsia="宋体" w:cs="宋体"/>
          <w:color w:val="auto"/>
          <w:kern w:val="2"/>
          <w:sz w:val="40"/>
          <w:highlight w:val="none"/>
          <w:lang w:val="en-US" w:eastAsia="zh-CN" w:bidi="ar-SA"/>
        </w:rPr>
        <w:t>报价评审</w:t>
      </w:r>
    </w:p>
    <w:tbl>
      <w:tblPr>
        <w:tblStyle w:val="38"/>
        <w:tblW w:w="56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866"/>
        <w:gridCol w:w="1090"/>
        <w:gridCol w:w="5037"/>
        <w:gridCol w:w="687"/>
        <w:gridCol w:w="1321"/>
      </w:tblGrid>
      <w:tr w14:paraId="783E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5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73613906">
            <w:pPr>
              <w:pStyle w:val="71"/>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kern w:val="2"/>
                <w:sz w:val="21"/>
                <w:szCs w:val="24"/>
                <w:highlight w:val="none"/>
              </w:rPr>
              <w:t>序号</w:t>
            </w:r>
          </w:p>
        </w:tc>
        <w:tc>
          <w:tcPr>
            <w:tcW w:w="3611" w:type="pct"/>
            <w:gridSpan w:val="3"/>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3CB159F8">
            <w:pPr>
              <w:pStyle w:val="71"/>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kern w:val="2"/>
                <w:sz w:val="21"/>
                <w:szCs w:val="24"/>
                <w:highlight w:val="none"/>
              </w:rPr>
              <w:t>评审因素</w:t>
            </w:r>
          </w:p>
        </w:tc>
        <w:tc>
          <w:tcPr>
            <w:tcW w:w="35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816CA97">
            <w:pPr>
              <w:pStyle w:val="71"/>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kern w:val="2"/>
                <w:sz w:val="21"/>
                <w:szCs w:val="24"/>
                <w:highlight w:val="none"/>
              </w:rPr>
              <w:t>权值</w:t>
            </w:r>
          </w:p>
        </w:tc>
        <w:tc>
          <w:tcPr>
            <w:tcW w:w="682"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95548C3">
            <w:pPr>
              <w:pStyle w:val="71"/>
              <w:jc w:val="center"/>
              <w:rPr>
                <w:rStyle w:val="40"/>
                <w:rFonts w:hint="eastAsia" w:ascii="宋体" w:hAnsi="宋体" w:eastAsia="宋体" w:cs="宋体"/>
                <w:b w:val="0"/>
                <w:color w:val="auto"/>
                <w:spacing w:val="0"/>
                <w:w w:val="100"/>
                <w:sz w:val="21"/>
                <w:szCs w:val="24"/>
                <w:highlight w:val="none"/>
              </w:rPr>
            </w:pPr>
          </w:p>
        </w:tc>
      </w:tr>
      <w:tr w14:paraId="5938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350" w:type="pct"/>
            <w:vMerge w:val="restart"/>
            <w:tcBorders>
              <w:top w:val="single" w:color="000000" w:sz="2" w:space="0"/>
              <w:left w:val="single" w:color="000000" w:sz="2" w:space="0"/>
              <w:right w:val="single" w:color="000000" w:sz="2" w:space="0"/>
            </w:tcBorders>
            <w:noWrap w:val="0"/>
            <w:tcMar>
              <w:top w:w="102" w:type="dxa"/>
              <w:bottom w:w="102" w:type="dxa"/>
            </w:tcMar>
            <w:vAlign w:val="center"/>
          </w:tcPr>
          <w:p w14:paraId="727EDEBB">
            <w:pPr>
              <w:pStyle w:val="71"/>
              <w:jc w:val="center"/>
              <w:rPr>
                <w:rStyle w:val="40"/>
                <w:rFonts w:hint="eastAsia" w:ascii="宋体" w:hAnsi="宋体" w:eastAsia="宋体" w:cs="宋体"/>
                <w:b w:val="0"/>
                <w:bCs w:val="0"/>
                <w:color w:val="auto"/>
                <w:spacing w:val="0"/>
                <w:w w:val="100"/>
                <w:sz w:val="21"/>
                <w:szCs w:val="21"/>
                <w:highlight w:val="none"/>
              </w:rPr>
            </w:pPr>
            <w:r>
              <w:rPr>
                <w:rStyle w:val="40"/>
                <w:rFonts w:hint="eastAsia" w:ascii="宋体" w:hAnsi="宋体" w:eastAsia="宋体" w:cs="宋体"/>
                <w:b w:val="0"/>
                <w:bCs w:val="0"/>
                <w:color w:val="auto"/>
                <w:spacing w:val="0"/>
                <w:w w:val="100"/>
                <w:kern w:val="2"/>
                <w:sz w:val="21"/>
                <w:szCs w:val="21"/>
                <w:highlight w:val="none"/>
              </w:rPr>
              <w:t>1</w:t>
            </w:r>
          </w:p>
        </w:tc>
        <w:tc>
          <w:tcPr>
            <w:tcW w:w="447" w:type="pct"/>
            <w:vMerge w:val="restart"/>
            <w:tcBorders>
              <w:top w:val="single" w:color="000000" w:sz="2" w:space="0"/>
              <w:left w:val="single" w:color="000000" w:sz="2" w:space="0"/>
              <w:right w:val="single" w:color="auto" w:sz="4" w:space="0"/>
            </w:tcBorders>
            <w:noWrap w:val="0"/>
            <w:tcMar>
              <w:top w:w="102" w:type="dxa"/>
              <w:bottom w:w="102" w:type="dxa"/>
            </w:tcMar>
            <w:vAlign w:val="center"/>
          </w:tcPr>
          <w:p w14:paraId="3C768050">
            <w:pPr>
              <w:pStyle w:val="71"/>
              <w:jc w:val="center"/>
              <w:rPr>
                <w:rStyle w:val="40"/>
                <w:rFonts w:hint="eastAsia" w:ascii="宋体" w:hAnsi="宋体" w:eastAsia="宋体" w:cs="宋体"/>
                <w:b w:val="0"/>
                <w:bCs w:val="0"/>
                <w:color w:val="auto"/>
                <w:spacing w:val="0"/>
                <w:w w:val="100"/>
                <w:sz w:val="21"/>
                <w:szCs w:val="21"/>
                <w:highlight w:val="none"/>
              </w:rPr>
            </w:pPr>
            <w:r>
              <w:rPr>
                <w:rStyle w:val="40"/>
                <w:rFonts w:hint="eastAsia" w:ascii="宋体" w:hAnsi="宋体" w:eastAsia="宋体" w:cs="宋体"/>
                <w:b w:val="0"/>
                <w:bCs w:val="0"/>
                <w:color w:val="auto"/>
                <w:spacing w:val="0"/>
                <w:w w:val="100"/>
                <w:kern w:val="2"/>
                <w:sz w:val="21"/>
                <w:szCs w:val="21"/>
                <w:highlight w:val="none"/>
              </w:rPr>
              <w:t>投标报价</w:t>
            </w:r>
          </w:p>
        </w:tc>
        <w:tc>
          <w:tcPr>
            <w:tcW w:w="563" w:type="pct"/>
            <w:tcBorders>
              <w:top w:val="single" w:color="000000" w:sz="2" w:space="0"/>
              <w:left w:val="single" w:color="auto" w:sz="4" w:space="0"/>
              <w:bottom w:val="single" w:color="auto" w:sz="4" w:space="0"/>
              <w:right w:val="single" w:color="000000" w:sz="2" w:space="0"/>
            </w:tcBorders>
            <w:noWrap w:val="0"/>
            <w:tcMar>
              <w:top w:w="102" w:type="dxa"/>
              <w:bottom w:w="102" w:type="dxa"/>
            </w:tcMar>
            <w:vAlign w:val="center"/>
          </w:tcPr>
          <w:p w14:paraId="7C97F7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高层电梯住宅</w:t>
            </w:r>
          </w:p>
        </w:tc>
        <w:tc>
          <w:tcPr>
            <w:tcW w:w="2599" w:type="pct"/>
            <w:tcBorders>
              <w:top w:val="single" w:color="000000" w:sz="2" w:space="0"/>
              <w:left w:val="single" w:color="000000" w:sz="2" w:space="0"/>
              <w:bottom w:val="single" w:color="auto" w:sz="4" w:space="0"/>
              <w:right w:val="single" w:color="000000" w:sz="2" w:space="0"/>
            </w:tcBorders>
            <w:noWrap w:val="0"/>
            <w:tcMar>
              <w:top w:w="102" w:type="dxa"/>
              <w:bottom w:w="102" w:type="dxa"/>
            </w:tcMar>
            <w:vAlign w:val="center"/>
          </w:tcPr>
          <w:p w14:paraId="232811B6">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以经评委会一致认定满足招标文件要求且投标价格最低的投标报价为评标基准价，其价格得分计满分10分。其他投标人的价格得分统一按公式计算：</w:t>
            </w:r>
          </w:p>
          <w:p w14:paraId="7502A801">
            <w:pPr>
              <w:keepNext w:val="0"/>
              <w:keepLines w:val="0"/>
              <w:pageBreakBefore w:val="0"/>
              <w:widowControl/>
              <w:kinsoku/>
              <w:wordWrap/>
              <w:overflowPunct/>
              <w:topLinePunct w:val="0"/>
              <w:autoSpaceDE/>
              <w:autoSpaceDN/>
              <w:bidi w:val="0"/>
              <w:adjustRightInd/>
              <w:snapToGrid/>
              <w:spacing w:line="360" w:lineRule="auto"/>
              <w:textAlignment w:val="auto"/>
              <w:outlineLvl w:val="9"/>
              <w:rPr>
                <w:rStyle w:val="40"/>
                <w:rFonts w:hint="eastAsia" w:ascii="宋体" w:hAnsi="宋体" w:eastAsia="宋体" w:cs="宋体"/>
                <w:b w:val="0"/>
                <w:bCs w:val="0"/>
                <w:color w:val="auto"/>
                <w:spacing w:val="0"/>
                <w:w w:val="100"/>
                <w:sz w:val="21"/>
                <w:szCs w:val="21"/>
                <w:highlight w:val="none"/>
              </w:rPr>
            </w:pPr>
            <w:r>
              <w:rPr>
                <w:rFonts w:hint="eastAsia" w:ascii="宋体" w:hAnsi="宋体" w:eastAsia="宋体" w:cs="宋体"/>
                <w:b w:val="0"/>
                <w:bCs w:val="0"/>
                <w:color w:val="auto"/>
                <w:sz w:val="21"/>
                <w:szCs w:val="21"/>
                <w:highlight w:val="none"/>
                <w:lang w:val="en-US" w:eastAsia="zh-CN"/>
              </w:rPr>
              <w:t>投标报价得分=(评标基准价／投标报价)×价格权值</w:t>
            </w:r>
          </w:p>
        </w:tc>
        <w:tc>
          <w:tcPr>
            <w:tcW w:w="35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11E71A6">
            <w:pPr>
              <w:rPr>
                <w:rFonts w:hint="eastAsia" w:ascii="宋体" w:hAnsi="宋体" w:eastAsia="宋体" w:cs="宋体"/>
                <w:b w:val="0"/>
                <w:bCs w:val="0"/>
                <w:color w:val="auto"/>
                <w:szCs w:val="21"/>
                <w:highlight w:val="none"/>
              </w:rPr>
            </w:pPr>
          </w:p>
          <w:p w14:paraId="5629F5DE">
            <w:pPr>
              <w:pStyle w:val="72"/>
              <w:pageBreakBefore w:val="0"/>
              <w:widowControl w:val="0"/>
              <w:kinsoku/>
              <w:wordWrap/>
              <w:overflowPunct/>
              <w:topLinePunct w:val="0"/>
              <w:autoSpaceDE/>
              <w:autoSpaceDN/>
              <w:bidi w:val="0"/>
              <w:adjustRightInd/>
              <w:snapToGrid/>
              <w:spacing w:line="360" w:lineRule="auto"/>
              <w:ind w:firstLine="0" w:firstLineChars="0"/>
              <w:jc w:val="center"/>
              <w:textAlignment w:val="auto"/>
              <w:rPr>
                <w:rStyle w:val="40"/>
                <w:rFonts w:hint="eastAsia" w:ascii="宋体" w:hAnsi="宋体" w:eastAsia="宋体" w:cs="宋体"/>
                <w:b w:val="0"/>
                <w:bCs w:val="0"/>
                <w:color w:val="auto"/>
                <w:spacing w:val="0"/>
                <w:w w:val="100"/>
                <w:sz w:val="21"/>
                <w:szCs w:val="21"/>
                <w:highlight w:val="none"/>
              </w:rPr>
            </w:pPr>
            <w:r>
              <w:rPr>
                <w:rStyle w:val="40"/>
                <w:rFonts w:hint="eastAsia" w:ascii="宋体" w:hAnsi="宋体" w:eastAsia="宋体" w:cs="宋体"/>
                <w:b w:val="0"/>
                <w:bCs w:val="0"/>
                <w:color w:val="auto"/>
                <w:spacing w:val="0"/>
                <w:w w:val="100"/>
                <w:kern w:val="2"/>
                <w:sz w:val="21"/>
                <w:szCs w:val="21"/>
                <w:highlight w:val="none"/>
                <w:lang w:val="en-US" w:eastAsia="zh-CN"/>
              </w:rPr>
              <w:t>10</w:t>
            </w:r>
          </w:p>
        </w:tc>
        <w:tc>
          <w:tcPr>
            <w:tcW w:w="682" w:type="pct"/>
            <w:vMerge w:val="restart"/>
            <w:tcBorders>
              <w:top w:val="single" w:color="000000" w:sz="2" w:space="0"/>
              <w:left w:val="single" w:color="000000" w:sz="2" w:space="0"/>
              <w:right w:val="single" w:color="000000" w:sz="2" w:space="0"/>
            </w:tcBorders>
            <w:noWrap w:val="0"/>
            <w:tcMar>
              <w:top w:w="102" w:type="dxa"/>
              <w:bottom w:w="102" w:type="dxa"/>
            </w:tcMar>
            <w:vAlign w:val="center"/>
          </w:tcPr>
          <w:p w14:paraId="56978509">
            <w:pPr>
              <w:pStyle w:val="72"/>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w w:val="100"/>
                <w:sz w:val="21"/>
                <w:szCs w:val="21"/>
                <w:highlight w:val="none"/>
                <w:lang w:val="en-US" w:eastAsia="zh-CN"/>
              </w:rPr>
            </w:pPr>
            <w:r>
              <w:rPr>
                <w:rFonts w:hint="eastAsia" w:ascii="宋体" w:hAnsi="宋体" w:eastAsia="宋体" w:cs="宋体"/>
                <w:b w:val="0"/>
                <w:bCs w:val="0"/>
                <w:color w:val="auto"/>
                <w:spacing w:val="0"/>
                <w:w w:val="100"/>
                <w:sz w:val="21"/>
                <w:szCs w:val="21"/>
                <w:highlight w:val="none"/>
                <w:lang w:val="en-US" w:eastAsia="zh-CN"/>
              </w:rPr>
              <w:t>价格得分：</w:t>
            </w:r>
          </w:p>
          <w:p w14:paraId="14506EFF">
            <w:pPr>
              <w:pStyle w:val="71"/>
              <w:jc w:val="center"/>
              <w:rPr>
                <w:rStyle w:val="40"/>
                <w:rFonts w:hint="eastAsia" w:ascii="宋体" w:hAnsi="宋体" w:eastAsia="宋体" w:cs="宋体"/>
                <w:b w:val="0"/>
                <w:bCs w:val="0"/>
                <w:color w:val="auto"/>
                <w:spacing w:val="0"/>
                <w:w w:val="100"/>
                <w:sz w:val="21"/>
                <w:szCs w:val="21"/>
                <w:highlight w:val="none"/>
              </w:rPr>
            </w:pPr>
            <w:r>
              <w:rPr>
                <w:rFonts w:hint="eastAsia" w:ascii="宋体" w:hAnsi="宋体" w:eastAsia="宋体" w:cs="宋体"/>
                <w:b w:val="0"/>
                <w:bCs w:val="0"/>
                <w:color w:val="auto"/>
                <w:spacing w:val="0"/>
                <w:w w:val="100"/>
                <w:sz w:val="21"/>
                <w:szCs w:val="21"/>
                <w:highlight w:val="none"/>
                <w:lang w:val="en-US" w:eastAsia="zh-CN"/>
              </w:rPr>
              <w:t>投标报价最终得分=(</w:t>
            </w:r>
            <w:r>
              <w:rPr>
                <w:rFonts w:hint="eastAsia" w:ascii="宋体" w:hAnsi="宋体" w:eastAsia="宋体" w:cs="宋体"/>
                <w:b w:val="0"/>
                <w:bCs w:val="0"/>
                <w:color w:val="auto"/>
                <w:kern w:val="2"/>
                <w:sz w:val="21"/>
                <w:szCs w:val="21"/>
                <w:lang w:val="en-US" w:eastAsia="zh-CN" w:bidi="ar-SA"/>
              </w:rPr>
              <w:t>高层电梯住宅</w:t>
            </w:r>
            <w:r>
              <w:rPr>
                <w:rFonts w:hint="eastAsia" w:ascii="宋体" w:hAnsi="宋体" w:eastAsia="宋体" w:cs="宋体"/>
                <w:b w:val="0"/>
                <w:bCs w:val="0"/>
                <w:color w:val="auto"/>
                <w:sz w:val="21"/>
                <w:szCs w:val="21"/>
                <w:lang w:val="en-US" w:eastAsia="zh-CN"/>
              </w:rPr>
              <w:t>服务费</w:t>
            </w:r>
            <w:r>
              <w:rPr>
                <w:rFonts w:hint="eastAsia" w:ascii="宋体" w:hAnsi="宋体" w:eastAsia="宋体" w:cs="宋体"/>
                <w:b w:val="0"/>
                <w:bCs w:val="0"/>
                <w:color w:val="auto"/>
                <w:spacing w:val="0"/>
                <w:w w:val="100"/>
                <w:sz w:val="21"/>
                <w:szCs w:val="21"/>
                <w:highlight w:val="none"/>
                <w:lang w:val="en-US" w:eastAsia="zh-CN"/>
              </w:rPr>
              <w:t>)投标报价得分+(</w:t>
            </w:r>
            <w:r>
              <w:rPr>
                <w:rFonts w:hint="eastAsia" w:ascii="宋体" w:hAnsi="宋体" w:eastAsia="宋体" w:cs="宋体"/>
                <w:b w:val="0"/>
                <w:bCs w:val="0"/>
                <w:color w:val="auto"/>
                <w:kern w:val="0"/>
                <w:sz w:val="21"/>
                <w:szCs w:val="21"/>
                <w:highlight w:val="none"/>
                <w:lang w:val="en-US" w:eastAsia="zh-CN" w:bidi="ar-SA"/>
              </w:rPr>
              <w:t>商业</w:t>
            </w:r>
            <w:r>
              <w:rPr>
                <w:rFonts w:hint="eastAsia" w:ascii="宋体" w:hAnsi="宋体" w:eastAsia="宋体" w:cs="宋体"/>
                <w:b w:val="0"/>
                <w:bCs w:val="0"/>
                <w:color w:val="auto"/>
                <w:spacing w:val="0"/>
                <w:w w:val="100"/>
                <w:sz w:val="21"/>
                <w:szCs w:val="21"/>
                <w:highlight w:val="none"/>
                <w:lang w:val="en-US" w:eastAsia="zh-CN"/>
              </w:rPr>
              <w:t>)投标报价得分+(</w:t>
            </w:r>
            <w:r>
              <w:rPr>
                <w:rFonts w:hint="eastAsia" w:ascii="宋体" w:hAnsi="宋体" w:eastAsia="宋体" w:cs="宋体"/>
                <w:b w:val="0"/>
                <w:bCs w:val="0"/>
                <w:color w:val="auto"/>
                <w:kern w:val="2"/>
                <w:sz w:val="24"/>
                <w:szCs w:val="24"/>
                <w:lang w:val="en-US" w:eastAsia="zh-CN" w:bidi="ar-SA"/>
              </w:rPr>
              <w:t>装修垃圾清运费</w:t>
            </w:r>
            <w:r>
              <w:rPr>
                <w:rFonts w:hint="eastAsia" w:ascii="宋体" w:hAnsi="宋体" w:eastAsia="宋体" w:cs="宋体"/>
                <w:b w:val="0"/>
                <w:bCs w:val="0"/>
                <w:color w:val="auto"/>
                <w:spacing w:val="0"/>
                <w:w w:val="100"/>
                <w:sz w:val="21"/>
                <w:szCs w:val="21"/>
                <w:highlight w:val="none"/>
                <w:lang w:val="en-US" w:eastAsia="zh-CN"/>
              </w:rPr>
              <w:t>）投标报价得分</w:t>
            </w:r>
          </w:p>
        </w:tc>
      </w:tr>
      <w:tr w14:paraId="22FE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9" w:hRule="atLeast"/>
          <w:jc w:val="center"/>
        </w:trPr>
        <w:tc>
          <w:tcPr>
            <w:tcW w:w="350" w:type="pct"/>
            <w:vMerge w:val="continue"/>
            <w:tcBorders>
              <w:left w:val="single" w:color="000000" w:sz="2" w:space="0"/>
              <w:right w:val="single" w:color="000000" w:sz="2" w:space="0"/>
            </w:tcBorders>
            <w:noWrap w:val="0"/>
            <w:tcMar>
              <w:top w:w="102" w:type="dxa"/>
              <w:bottom w:w="102" w:type="dxa"/>
            </w:tcMar>
            <w:vAlign w:val="center"/>
          </w:tcPr>
          <w:p w14:paraId="38B985AB">
            <w:pPr>
              <w:pStyle w:val="71"/>
              <w:jc w:val="center"/>
              <w:rPr>
                <w:rStyle w:val="40"/>
                <w:rFonts w:hint="eastAsia" w:ascii="宋体" w:hAnsi="宋体" w:eastAsia="宋体" w:cs="宋体"/>
                <w:b w:val="0"/>
                <w:bCs w:val="0"/>
                <w:color w:val="auto"/>
                <w:spacing w:val="0"/>
                <w:w w:val="100"/>
                <w:sz w:val="21"/>
                <w:szCs w:val="21"/>
                <w:highlight w:val="none"/>
              </w:rPr>
            </w:pPr>
          </w:p>
        </w:tc>
        <w:tc>
          <w:tcPr>
            <w:tcW w:w="447" w:type="pct"/>
            <w:vMerge w:val="continue"/>
            <w:tcBorders>
              <w:left w:val="single" w:color="000000" w:sz="2" w:space="0"/>
              <w:right w:val="single" w:color="auto" w:sz="4" w:space="0"/>
            </w:tcBorders>
            <w:noWrap w:val="0"/>
            <w:tcMar>
              <w:top w:w="102" w:type="dxa"/>
              <w:bottom w:w="102" w:type="dxa"/>
            </w:tcMar>
            <w:vAlign w:val="center"/>
          </w:tcPr>
          <w:p w14:paraId="2C0B05CE">
            <w:pPr>
              <w:pStyle w:val="71"/>
              <w:jc w:val="center"/>
              <w:rPr>
                <w:rStyle w:val="40"/>
                <w:rFonts w:hint="eastAsia" w:ascii="宋体" w:hAnsi="宋体" w:eastAsia="宋体" w:cs="宋体"/>
                <w:b w:val="0"/>
                <w:bCs w:val="0"/>
                <w:color w:val="auto"/>
                <w:spacing w:val="0"/>
                <w:w w:val="100"/>
                <w:sz w:val="21"/>
                <w:szCs w:val="21"/>
                <w:highlight w:val="none"/>
              </w:rPr>
            </w:pPr>
          </w:p>
        </w:tc>
        <w:tc>
          <w:tcPr>
            <w:tcW w:w="563" w:type="pct"/>
            <w:tcBorders>
              <w:top w:val="single" w:color="auto" w:sz="4" w:space="0"/>
              <w:left w:val="single" w:color="auto" w:sz="4" w:space="0"/>
              <w:bottom w:val="single" w:color="auto" w:sz="4" w:space="0"/>
              <w:right w:val="single" w:color="000000" w:sz="2" w:space="0"/>
            </w:tcBorders>
            <w:noWrap w:val="0"/>
            <w:tcMar>
              <w:top w:w="102" w:type="dxa"/>
              <w:bottom w:w="102" w:type="dxa"/>
            </w:tcMar>
            <w:vAlign w:val="center"/>
          </w:tcPr>
          <w:p w14:paraId="36C9C1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商业</w:t>
            </w:r>
          </w:p>
        </w:tc>
        <w:tc>
          <w:tcPr>
            <w:tcW w:w="2599" w:type="pct"/>
            <w:tcBorders>
              <w:top w:val="single" w:color="auto" w:sz="4" w:space="0"/>
              <w:left w:val="single" w:color="000000" w:sz="2" w:space="0"/>
              <w:bottom w:val="single" w:color="auto" w:sz="4" w:space="0"/>
              <w:right w:val="single" w:color="000000" w:sz="2" w:space="0"/>
            </w:tcBorders>
            <w:noWrap w:val="0"/>
            <w:tcMar>
              <w:top w:w="102" w:type="dxa"/>
              <w:bottom w:w="102" w:type="dxa"/>
            </w:tcMar>
            <w:vAlign w:val="center"/>
          </w:tcPr>
          <w:p w14:paraId="17412027">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以经评委会一致认定满足招标文件要求且投标价格最低的投标报价为评标基准价，其价格得分计满分10分。其他投标人的价格得分统一按公式计算：</w:t>
            </w:r>
          </w:p>
          <w:p w14:paraId="124AE7F1">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投标报价得分=(评标基准价／投标报价)×价格权值</w:t>
            </w:r>
          </w:p>
        </w:tc>
        <w:tc>
          <w:tcPr>
            <w:tcW w:w="35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499B167">
            <w:pPr>
              <w:pStyle w:val="71"/>
              <w:jc w:val="center"/>
              <w:rPr>
                <w:rStyle w:val="40"/>
                <w:rFonts w:hint="eastAsia" w:ascii="宋体" w:hAnsi="宋体" w:eastAsia="宋体" w:cs="宋体"/>
                <w:b w:val="0"/>
                <w:bCs w:val="0"/>
                <w:color w:val="auto"/>
                <w:spacing w:val="0"/>
                <w:w w:val="100"/>
                <w:sz w:val="21"/>
                <w:szCs w:val="21"/>
                <w:highlight w:val="none"/>
                <w:lang w:val="en-US" w:eastAsia="zh-CN"/>
              </w:rPr>
            </w:pPr>
            <w:r>
              <w:rPr>
                <w:rStyle w:val="40"/>
                <w:rFonts w:hint="eastAsia" w:ascii="宋体" w:hAnsi="宋体" w:eastAsia="宋体" w:cs="宋体"/>
                <w:b w:val="0"/>
                <w:bCs w:val="0"/>
                <w:color w:val="auto"/>
                <w:spacing w:val="0"/>
                <w:w w:val="100"/>
                <w:kern w:val="2"/>
                <w:sz w:val="21"/>
                <w:szCs w:val="21"/>
                <w:highlight w:val="none"/>
                <w:lang w:val="en-US" w:eastAsia="zh-CN"/>
              </w:rPr>
              <w:t>10</w:t>
            </w:r>
          </w:p>
        </w:tc>
        <w:tc>
          <w:tcPr>
            <w:tcW w:w="682" w:type="pct"/>
            <w:vMerge w:val="continue"/>
            <w:tcBorders>
              <w:left w:val="single" w:color="000000" w:sz="2" w:space="0"/>
              <w:right w:val="single" w:color="000000" w:sz="2" w:space="0"/>
            </w:tcBorders>
            <w:noWrap w:val="0"/>
            <w:tcMar>
              <w:top w:w="102" w:type="dxa"/>
              <w:bottom w:w="102" w:type="dxa"/>
            </w:tcMar>
            <w:vAlign w:val="center"/>
          </w:tcPr>
          <w:p w14:paraId="618521EC">
            <w:pPr>
              <w:pStyle w:val="71"/>
              <w:jc w:val="center"/>
              <w:rPr>
                <w:rStyle w:val="40"/>
                <w:rFonts w:hint="eastAsia" w:ascii="宋体" w:hAnsi="宋体" w:eastAsia="宋体" w:cs="宋体"/>
                <w:b w:val="0"/>
                <w:bCs w:val="0"/>
                <w:color w:val="auto"/>
                <w:spacing w:val="0"/>
                <w:w w:val="100"/>
                <w:sz w:val="21"/>
                <w:szCs w:val="21"/>
                <w:highlight w:val="none"/>
              </w:rPr>
            </w:pPr>
          </w:p>
        </w:tc>
      </w:tr>
      <w:tr w14:paraId="6BB1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350" w:type="pct"/>
            <w:vMerge w:val="continue"/>
            <w:tcBorders>
              <w:left w:val="single" w:color="000000" w:sz="2" w:space="0"/>
              <w:bottom w:val="single" w:color="000000" w:sz="2" w:space="0"/>
              <w:right w:val="single" w:color="000000" w:sz="2" w:space="0"/>
            </w:tcBorders>
            <w:noWrap w:val="0"/>
            <w:tcMar>
              <w:top w:w="102" w:type="dxa"/>
              <w:bottom w:w="102" w:type="dxa"/>
            </w:tcMar>
            <w:vAlign w:val="center"/>
          </w:tcPr>
          <w:p w14:paraId="78929FA8">
            <w:pPr>
              <w:pStyle w:val="71"/>
              <w:jc w:val="center"/>
              <w:rPr>
                <w:rStyle w:val="40"/>
                <w:rFonts w:hint="eastAsia" w:ascii="宋体" w:hAnsi="宋体" w:eastAsia="宋体" w:cs="宋体"/>
                <w:b w:val="0"/>
                <w:bCs w:val="0"/>
                <w:color w:val="auto"/>
                <w:spacing w:val="0"/>
                <w:w w:val="100"/>
                <w:sz w:val="21"/>
                <w:szCs w:val="21"/>
                <w:highlight w:val="none"/>
              </w:rPr>
            </w:pPr>
          </w:p>
        </w:tc>
        <w:tc>
          <w:tcPr>
            <w:tcW w:w="447" w:type="pct"/>
            <w:vMerge w:val="continue"/>
            <w:tcBorders>
              <w:left w:val="single" w:color="000000" w:sz="2" w:space="0"/>
              <w:bottom w:val="single" w:color="000000" w:sz="2" w:space="0"/>
              <w:right w:val="single" w:color="auto" w:sz="4" w:space="0"/>
            </w:tcBorders>
            <w:noWrap w:val="0"/>
            <w:tcMar>
              <w:top w:w="102" w:type="dxa"/>
              <w:bottom w:w="102" w:type="dxa"/>
            </w:tcMar>
            <w:vAlign w:val="center"/>
          </w:tcPr>
          <w:p w14:paraId="762F6F29">
            <w:pPr>
              <w:pStyle w:val="71"/>
              <w:jc w:val="center"/>
              <w:rPr>
                <w:rStyle w:val="40"/>
                <w:rFonts w:hint="eastAsia" w:ascii="宋体" w:hAnsi="宋体" w:eastAsia="宋体" w:cs="宋体"/>
                <w:b w:val="0"/>
                <w:bCs w:val="0"/>
                <w:color w:val="auto"/>
                <w:spacing w:val="0"/>
                <w:w w:val="100"/>
                <w:sz w:val="21"/>
                <w:szCs w:val="21"/>
                <w:highlight w:val="none"/>
              </w:rPr>
            </w:pPr>
          </w:p>
        </w:tc>
        <w:tc>
          <w:tcPr>
            <w:tcW w:w="563" w:type="pct"/>
            <w:tcBorders>
              <w:top w:val="single" w:color="auto" w:sz="4" w:space="0"/>
              <w:left w:val="single" w:color="auto" w:sz="4" w:space="0"/>
              <w:bottom w:val="single" w:color="000000" w:sz="2" w:space="0"/>
              <w:right w:val="single" w:color="000000" w:sz="2" w:space="0"/>
            </w:tcBorders>
            <w:noWrap w:val="0"/>
            <w:tcMar>
              <w:top w:w="102" w:type="dxa"/>
              <w:bottom w:w="102" w:type="dxa"/>
            </w:tcMar>
            <w:vAlign w:val="center"/>
          </w:tcPr>
          <w:p w14:paraId="0D0CCE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2"/>
                <w:sz w:val="24"/>
                <w:szCs w:val="24"/>
                <w:lang w:val="en-US" w:eastAsia="zh-CN" w:bidi="ar-SA"/>
              </w:rPr>
              <w:t>装修垃圾清运费</w:t>
            </w:r>
          </w:p>
        </w:tc>
        <w:tc>
          <w:tcPr>
            <w:tcW w:w="2599" w:type="pct"/>
            <w:tcBorders>
              <w:top w:val="single" w:color="auto" w:sz="4" w:space="0"/>
              <w:left w:val="single" w:color="000000" w:sz="2" w:space="0"/>
              <w:bottom w:val="single" w:color="000000" w:sz="2" w:space="0"/>
              <w:right w:val="single" w:color="000000" w:sz="2" w:space="0"/>
            </w:tcBorders>
            <w:noWrap w:val="0"/>
            <w:tcMar>
              <w:top w:w="102" w:type="dxa"/>
              <w:bottom w:w="102" w:type="dxa"/>
            </w:tcMar>
            <w:vAlign w:val="center"/>
          </w:tcPr>
          <w:p w14:paraId="4D3625C5">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以经评委会一致认定满足招标文件要求且投标价格最低的投标报价为评标基准价，其价格得分计满分10分。其他投标人的价格得分统一按公式计算：</w:t>
            </w:r>
          </w:p>
          <w:p w14:paraId="15053DFD">
            <w:pPr>
              <w:pStyle w:val="71"/>
              <w:jc w:val="left"/>
              <w:rPr>
                <w:rStyle w:val="40"/>
                <w:rFonts w:hint="eastAsia" w:ascii="宋体" w:hAnsi="宋体" w:eastAsia="宋体" w:cs="宋体"/>
                <w:b w:val="0"/>
                <w:bCs w:val="0"/>
                <w:color w:val="auto"/>
                <w:spacing w:val="0"/>
                <w:w w:val="100"/>
                <w:sz w:val="21"/>
                <w:szCs w:val="21"/>
                <w:highlight w:val="none"/>
              </w:rPr>
            </w:pPr>
            <w:r>
              <w:rPr>
                <w:rFonts w:hint="eastAsia" w:ascii="宋体" w:hAnsi="宋体" w:eastAsia="宋体" w:cs="宋体"/>
                <w:b w:val="0"/>
                <w:bCs w:val="0"/>
                <w:color w:val="auto"/>
                <w:sz w:val="21"/>
                <w:szCs w:val="21"/>
                <w:highlight w:val="none"/>
                <w:lang w:val="en-US" w:eastAsia="zh-CN"/>
              </w:rPr>
              <w:t>投标报价得分=(评标基准价／投标报价)×价格权值</w:t>
            </w:r>
          </w:p>
        </w:tc>
        <w:tc>
          <w:tcPr>
            <w:tcW w:w="35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4DCEA65">
            <w:pPr>
              <w:pStyle w:val="71"/>
              <w:jc w:val="center"/>
              <w:rPr>
                <w:rStyle w:val="40"/>
                <w:rFonts w:hint="eastAsia" w:ascii="宋体" w:hAnsi="宋体" w:eastAsia="宋体" w:cs="宋体"/>
                <w:b w:val="0"/>
                <w:bCs w:val="0"/>
                <w:color w:val="auto"/>
                <w:spacing w:val="0"/>
                <w:w w:val="100"/>
                <w:sz w:val="21"/>
                <w:szCs w:val="21"/>
                <w:highlight w:val="none"/>
                <w:lang w:val="en-US" w:eastAsia="zh-CN"/>
              </w:rPr>
            </w:pPr>
            <w:r>
              <w:rPr>
                <w:rStyle w:val="40"/>
                <w:rFonts w:hint="eastAsia" w:ascii="宋体" w:hAnsi="宋体" w:eastAsia="宋体" w:cs="宋体"/>
                <w:b w:val="0"/>
                <w:bCs w:val="0"/>
                <w:color w:val="auto"/>
                <w:spacing w:val="0"/>
                <w:w w:val="100"/>
                <w:kern w:val="2"/>
                <w:sz w:val="21"/>
                <w:szCs w:val="21"/>
                <w:highlight w:val="none"/>
                <w:lang w:val="en-US" w:eastAsia="zh-CN"/>
              </w:rPr>
              <w:t>10</w:t>
            </w:r>
          </w:p>
        </w:tc>
        <w:tc>
          <w:tcPr>
            <w:tcW w:w="682" w:type="pct"/>
            <w:vMerge w:val="continue"/>
            <w:tcBorders>
              <w:left w:val="single" w:color="000000" w:sz="2" w:space="0"/>
              <w:bottom w:val="single" w:color="000000" w:sz="2" w:space="0"/>
              <w:right w:val="single" w:color="000000" w:sz="2" w:space="0"/>
            </w:tcBorders>
            <w:noWrap w:val="0"/>
            <w:tcMar>
              <w:top w:w="102" w:type="dxa"/>
              <w:bottom w:w="102" w:type="dxa"/>
            </w:tcMar>
            <w:vAlign w:val="center"/>
          </w:tcPr>
          <w:p w14:paraId="733A3023">
            <w:pPr>
              <w:pStyle w:val="71"/>
              <w:jc w:val="center"/>
              <w:rPr>
                <w:rStyle w:val="40"/>
                <w:rFonts w:hint="eastAsia" w:ascii="宋体" w:hAnsi="宋体" w:eastAsia="宋体" w:cs="宋体"/>
                <w:b w:val="0"/>
                <w:bCs w:val="0"/>
                <w:color w:val="auto"/>
                <w:spacing w:val="0"/>
                <w:w w:val="100"/>
                <w:sz w:val="21"/>
                <w:szCs w:val="21"/>
                <w:highlight w:val="none"/>
              </w:rPr>
            </w:pPr>
          </w:p>
        </w:tc>
      </w:tr>
    </w:tbl>
    <w:p w14:paraId="2D5DB25D">
      <w:pPr>
        <w:pStyle w:val="66"/>
        <w:jc w:val="both"/>
        <w:rPr>
          <w:rStyle w:val="40"/>
          <w:rFonts w:hint="eastAsia" w:ascii="宋体" w:hAnsi="宋体" w:eastAsia="宋体" w:cs="宋体"/>
          <w:color w:val="auto"/>
          <w:sz w:val="40"/>
          <w:highlight w:val="none"/>
        </w:rPr>
      </w:pPr>
    </w:p>
    <w:p w14:paraId="4F739B42">
      <w:pPr>
        <w:pStyle w:val="66"/>
        <w:jc w:val="both"/>
        <w:rPr>
          <w:rStyle w:val="40"/>
          <w:rFonts w:hint="eastAsia" w:ascii="宋体" w:hAnsi="宋体" w:eastAsia="宋体" w:cs="宋体"/>
          <w:color w:val="auto"/>
          <w:sz w:val="40"/>
          <w:highlight w:val="none"/>
        </w:rPr>
      </w:pPr>
    </w:p>
    <w:p w14:paraId="07793CC1">
      <w:pPr>
        <w:pStyle w:val="66"/>
        <w:jc w:val="both"/>
        <w:rPr>
          <w:rStyle w:val="40"/>
          <w:rFonts w:hint="eastAsia" w:ascii="宋体" w:hAnsi="宋体" w:eastAsia="宋体" w:cs="宋体"/>
          <w:color w:val="auto"/>
          <w:sz w:val="40"/>
          <w:highlight w:val="none"/>
        </w:rPr>
      </w:pPr>
    </w:p>
    <w:p w14:paraId="7ED8FE1E">
      <w:pPr>
        <w:pStyle w:val="66"/>
        <w:jc w:val="center"/>
        <w:rPr>
          <w:rStyle w:val="40"/>
          <w:rFonts w:hint="eastAsia" w:ascii="宋体" w:hAnsi="宋体" w:eastAsia="宋体" w:cs="宋体"/>
          <w:color w:val="auto"/>
          <w:sz w:val="40"/>
          <w:highlight w:val="none"/>
        </w:rPr>
      </w:pPr>
      <w:r>
        <w:rPr>
          <w:rStyle w:val="40"/>
          <w:rFonts w:hint="eastAsia" w:ascii="宋体" w:hAnsi="宋体" w:eastAsia="宋体" w:cs="宋体"/>
          <w:color w:val="auto"/>
          <w:sz w:val="40"/>
          <w:highlight w:val="none"/>
        </w:rPr>
        <w:t>技术评审</w:t>
      </w:r>
    </w:p>
    <w:tbl>
      <w:tblPr>
        <w:tblStyle w:val="38"/>
        <w:tblW w:w="54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77"/>
        <w:gridCol w:w="6976"/>
        <w:gridCol w:w="779"/>
      </w:tblGrid>
      <w:tr w14:paraId="5A39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8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777702C">
            <w:pPr>
              <w:pStyle w:val="72"/>
              <w:spacing w:line="400" w:lineRule="exact"/>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序号</w:t>
            </w:r>
          </w:p>
        </w:tc>
        <w:tc>
          <w:tcPr>
            <w:tcW w:w="4192" w:type="pct"/>
            <w:gridSpan w:val="2"/>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0CD57CAE">
            <w:pPr>
              <w:pStyle w:val="72"/>
              <w:spacing w:line="400" w:lineRule="exact"/>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评审因素</w:t>
            </w:r>
          </w:p>
        </w:tc>
        <w:tc>
          <w:tcPr>
            <w:tcW w:w="421"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1D710D5">
            <w:pPr>
              <w:pStyle w:val="72"/>
              <w:spacing w:line="400" w:lineRule="exact"/>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权值</w:t>
            </w:r>
          </w:p>
        </w:tc>
      </w:tr>
      <w:tr w14:paraId="72FE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38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60B9EFC">
            <w:pPr>
              <w:pStyle w:val="71"/>
              <w:spacing w:line="400" w:lineRule="exact"/>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1</w:t>
            </w:r>
          </w:p>
        </w:tc>
        <w:tc>
          <w:tcPr>
            <w:tcW w:w="42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08505142">
            <w:pPr>
              <w:pStyle w:val="11"/>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项目理解方案</w:t>
            </w:r>
          </w:p>
        </w:tc>
        <w:tc>
          <w:tcPr>
            <w:tcW w:w="6976" w:type="dxa"/>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06A8D15">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根据各投标人针对本项目提供的项目理解方案（包含：项目需求分析与重点、项目管理指标承诺、保障措施、运作模式、服务优势）进行综合评审，项目需求分析与重点明确，项目管理指标承诺完善，保障措施安全可靠，运作模式科学合理，服务优势强的，计10分，</w:t>
            </w:r>
            <w:r>
              <w:rPr>
                <w:rFonts w:hint="eastAsia" w:ascii="宋体" w:hAnsi="宋体" w:eastAsia="宋体" w:cs="宋体"/>
                <w:color w:val="auto"/>
                <w:kern w:val="2"/>
                <w:sz w:val="21"/>
                <w:szCs w:val="21"/>
                <w:highlight w:val="none"/>
                <w:lang w:val="en-US" w:eastAsia="zh-CN" w:bidi="ar"/>
              </w:rPr>
              <w:t>有缺漏项的每处扣2分，不合理或不完善的每处扣1分，扣完为止，未提供方案不计分。（注：不合理或不完善的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c>
          <w:tcPr>
            <w:tcW w:w="421"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6968C10">
            <w:pPr>
              <w:pStyle w:val="72"/>
              <w:pageBreakBefore w:val="0"/>
              <w:kinsoku/>
              <w:wordWrap/>
              <w:overflowPunct/>
              <w:topLinePunct w:val="0"/>
              <w:autoSpaceDE/>
              <w:autoSpaceDN/>
              <w:bidi w:val="0"/>
              <w:adjustRightInd/>
              <w:snapToGrid/>
              <w:spacing w:line="400" w:lineRule="exact"/>
              <w:jc w:val="center"/>
              <w:textAlignment w:val="auto"/>
              <w:rPr>
                <w:rStyle w:val="40"/>
                <w:rFonts w:hint="eastAsia" w:ascii="宋体" w:hAnsi="宋体" w:eastAsia="宋体" w:cs="宋体"/>
                <w:b w:val="0"/>
                <w:color w:val="auto"/>
                <w:spacing w:val="0"/>
                <w:w w:val="100"/>
                <w:sz w:val="21"/>
                <w:szCs w:val="24"/>
                <w:highlight w:val="none"/>
                <w:lang w:val="en-US" w:eastAsia="zh-CN"/>
              </w:rPr>
            </w:pPr>
            <w:r>
              <w:rPr>
                <w:rFonts w:hint="eastAsia" w:ascii="宋体" w:hAnsi="宋体" w:eastAsia="宋体" w:cs="宋体"/>
                <w:color w:val="auto"/>
                <w:sz w:val="21"/>
                <w:szCs w:val="21"/>
                <w:highlight w:val="none"/>
                <w:lang w:val="en-US" w:eastAsia="zh-CN"/>
              </w:rPr>
              <w:t>10</w:t>
            </w:r>
          </w:p>
        </w:tc>
      </w:tr>
      <w:tr w14:paraId="53DE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34FBAAFB">
            <w:pPr>
              <w:pStyle w:val="71"/>
              <w:spacing w:line="400" w:lineRule="exact"/>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2</w:t>
            </w:r>
          </w:p>
        </w:tc>
        <w:tc>
          <w:tcPr>
            <w:tcW w:w="42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233820D">
            <w:pPr>
              <w:pStyle w:val="11"/>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综合物业服务方案</w:t>
            </w:r>
          </w:p>
        </w:tc>
        <w:tc>
          <w:tcPr>
            <w:tcW w:w="6976" w:type="dxa"/>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AE30F34">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根据各投标人针对本项目提供的综合物业服务方案（包含：人员结构及安排、制度建设、档案管理、报修管理）进行综合评审，人员结构及安排合理，制度建设完善，档案管理制度完善，报修管理得当的，计8分，</w:t>
            </w:r>
            <w:r>
              <w:rPr>
                <w:rFonts w:hint="eastAsia" w:ascii="宋体" w:hAnsi="宋体" w:eastAsia="宋体" w:cs="宋体"/>
                <w:color w:val="auto"/>
                <w:kern w:val="2"/>
                <w:sz w:val="21"/>
                <w:szCs w:val="21"/>
                <w:highlight w:val="none"/>
                <w:lang w:val="en-US" w:eastAsia="zh-CN" w:bidi="ar"/>
              </w:rPr>
              <w:t>有缺漏项的每处扣2分，不合理或不完善的每处扣1分，扣完为止，未提供方案不计分。（注：不合理或不完善的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c>
          <w:tcPr>
            <w:tcW w:w="421"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237A4EF8">
            <w:pPr>
              <w:pStyle w:val="72"/>
              <w:pageBreakBefore w:val="0"/>
              <w:kinsoku/>
              <w:wordWrap/>
              <w:overflowPunct/>
              <w:topLinePunct w:val="0"/>
              <w:autoSpaceDE/>
              <w:autoSpaceDN/>
              <w:bidi w:val="0"/>
              <w:adjustRightInd/>
              <w:snapToGrid/>
              <w:spacing w:line="400" w:lineRule="exact"/>
              <w:jc w:val="center"/>
              <w:textAlignment w:val="auto"/>
              <w:rPr>
                <w:rStyle w:val="40"/>
                <w:rFonts w:hint="eastAsia" w:ascii="宋体" w:hAnsi="宋体" w:eastAsia="宋体" w:cs="宋体"/>
                <w:b w:val="0"/>
                <w:color w:val="auto"/>
                <w:spacing w:val="0"/>
                <w:w w:val="100"/>
                <w:sz w:val="21"/>
                <w:szCs w:val="24"/>
                <w:highlight w:val="none"/>
                <w:lang w:val="en-US" w:eastAsia="zh-CN"/>
              </w:rPr>
            </w:pPr>
            <w:r>
              <w:rPr>
                <w:rFonts w:hint="eastAsia" w:ascii="宋体" w:hAnsi="宋体" w:eastAsia="宋体" w:cs="宋体"/>
                <w:color w:val="auto"/>
                <w:sz w:val="21"/>
                <w:szCs w:val="21"/>
                <w:highlight w:val="none"/>
                <w:lang w:val="en-US" w:eastAsia="zh-CN"/>
              </w:rPr>
              <w:t>8</w:t>
            </w:r>
          </w:p>
        </w:tc>
      </w:tr>
      <w:tr w14:paraId="1958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BF27484">
            <w:pPr>
              <w:pStyle w:val="71"/>
              <w:spacing w:line="400" w:lineRule="exact"/>
              <w:jc w:val="center"/>
              <w:rPr>
                <w:rStyle w:val="40"/>
                <w:rFonts w:hint="eastAsia" w:ascii="宋体" w:hAnsi="宋体" w:eastAsia="宋体" w:cs="宋体"/>
                <w:b w:val="0"/>
                <w:color w:val="auto"/>
                <w:spacing w:val="0"/>
                <w:w w:val="100"/>
                <w:sz w:val="21"/>
                <w:szCs w:val="24"/>
                <w:highlight w:val="none"/>
                <w:lang w:val="en-US" w:eastAsia="zh-CN"/>
              </w:rPr>
            </w:pPr>
            <w:r>
              <w:rPr>
                <w:rStyle w:val="40"/>
                <w:rFonts w:hint="eastAsia" w:ascii="宋体" w:hAnsi="宋体" w:eastAsia="宋体" w:cs="宋体"/>
                <w:b w:val="0"/>
                <w:color w:val="auto"/>
                <w:spacing w:val="0"/>
                <w:w w:val="100"/>
                <w:sz w:val="21"/>
                <w:szCs w:val="24"/>
                <w:highlight w:val="none"/>
                <w:lang w:val="en-US" w:eastAsia="zh-CN"/>
              </w:rPr>
              <w:t>3</w:t>
            </w:r>
          </w:p>
        </w:tc>
        <w:tc>
          <w:tcPr>
            <w:tcW w:w="42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36B24DA">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卫生保洁管理服务方案</w:t>
            </w:r>
          </w:p>
        </w:tc>
        <w:tc>
          <w:tcPr>
            <w:tcW w:w="6976" w:type="dxa"/>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A935D72">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根据各投标人本项目提供的卫生保洁管理服务方案（包含：楼内保洁、室外保洁、垃圾分类收集与处理、绿化养护方案计划、环境卫生消杀、病虫害防治）进行综合评审，管理制度完善，楼内保洁、室外保洁、垃圾分类收集与处理计划符合实际需要且内容详细完整，绿化养护方案计划详细完整，环境卫生消杀、病虫害防治措施完善的，计6分。</w:t>
            </w:r>
            <w:r>
              <w:rPr>
                <w:rFonts w:hint="eastAsia" w:ascii="宋体" w:hAnsi="宋体" w:eastAsia="宋体" w:cs="宋体"/>
                <w:color w:val="auto"/>
                <w:kern w:val="2"/>
                <w:sz w:val="21"/>
                <w:szCs w:val="21"/>
                <w:highlight w:val="none"/>
                <w:lang w:val="en-US" w:eastAsia="zh-CN" w:bidi="ar"/>
              </w:rPr>
              <w:t>有缺漏项的每处扣1分，不合理或不完善的每处扣0.5分，扣完为止，未提供方案不计分。（注：不合理或不完善的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c>
          <w:tcPr>
            <w:tcW w:w="421"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6BBC287F">
            <w:pPr>
              <w:pageBreakBefore w:val="0"/>
              <w:kinsoku/>
              <w:wordWrap/>
              <w:overflowPunct/>
              <w:topLinePunct w:val="0"/>
              <w:autoSpaceDE/>
              <w:autoSpaceDN/>
              <w:bidi w:val="0"/>
              <w:adjustRightInd/>
              <w:snapToGrid/>
              <w:spacing w:line="400" w:lineRule="exact"/>
              <w:jc w:val="center"/>
              <w:textAlignment w:val="auto"/>
              <w:rPr>
                <w:rStyle w:val="40"/>
                <w:rFonts w:hint="eastAsia" w:ascii="宋体" w:hAnsi="宋体" w:eastAsia="宋体" w:cs="宋体"/>
                <w:b w:val="0"/>
                <w:color w:val="auto"/>
                <w:spacing w:val="0"/>
                <w:w w:val="100"/>
                <w:sz w:val="21"/>
                <w:szCs w:val="24"/>
                <w:highlight w:val="none"/>
                <w:lang w:val="en-US" w:eastAsia="zh-CN"/>
              </w:rPr>
            </w:pPr>
            <w:r>
              <w:rPr>
                <w:rFonts w:hint="eastAsia" w:ascii="宋体" w:hAnsi="宋体" w:eastAsia="宋体" w:cs="宋体"/>
                <w:color w:val="auto"/>
                <w:sz w:val="21"/>
                <w:szCs w:val="21"/>
                <w:highlight w:val="none"/>
                <w:lang w:val="en-US" w:eastAsia="zh-CN"/>
              </w:rPr>
              <w:t>6</w:t>
            </w:r>
          </w:p>
        </w:tc>
      </w:tr>
      <w:tr w14:paraId="19F9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6B026AED">
            <w:pPr>
              <w:pStyle w:val="71"/>
              <w:spacing w:line="400" w:lineRule="exact"/>
              <w:jc w:val="center"/>
              <w:rPr>
                <w:rStyle w:val="40"/>
                <w:rFonts w:hint="eastAsia" w:ascii="宋体" w:hAnsi="宋体" w:eastAsia="宋体" w:cs="宋体"/>
                <w:b w:val="0"/>
                <w:color w:val="auto"/>
                <w:spacing w:val="0"/>
                <w:w w:val="100"/>
                <w:sz w:val="21"/>
                <w:szCs w:val="24"/>
                <w:highlight w:val="none"/>
                <w:lang w:eastAsia="zh-CN"/>
              </w:rPr>
            </w:pPr>
            <w:r>
              <w:rPr>
                <w:rStyle w:val="40"/>
                <w:rFonts w:hint="eastAsia" w:ascii="宋体" w:hAnsi="宋体" w:eastAsia="宋体" w:cs="宋体"/>
                <w:b w:val="0"/>
                <w:color w:val="auto"/>
                <w:spacing w:val="0"/>
                <w:w w:val="100"/>
                <w:sz w:val="21"/>
                <w:szCs w:val="24"/>
                <w:highlight w:val="none"/>
                <w:lang w:val="en-US" w:eastAsia="zh-CN"/>
              </w:rPr>
              <w:t>4</w:t>
            </w:r>
          </w:p>
        </w:tc>
        <w:tc>
          <w:tcPr>
            <w:tcW w:w="42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B5165FE">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安全保卫方案</w:t>
            </w:r>
          </w:p>
        </w:tc>
        <w:tc>
          <w:tcPr>
            <w:tcW w:w="6976" w:type="dxa"/>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78A60338">
            <w:pPr>
              <w:pageBreakBefore w:val="0"/>
              <w:widowControl/>
              <w:kinsoku/>
              <w:wordWrap/>
              <w:overflowPunct/>
              <w:topLinePunct w:val="0"/>
              <w:autoSpaceDE/>
              <w:autoSpaceDN/>
              <w:bidi w:val="0"/>
              <w:adjustRightInd/>
              <w:snapToGrid/>
              <w:spacing w:line="360" w:lineRule="auto"/>
              <w:ind w:left="0" w:leftChars="0" w:firstLineChars="0"/>
              <w:textAlignment w:val="auto"/>
              <w:outlineLvl w:val="9"/>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sz w:val="21"/>
                <w:szCs w:val="21"/>
                <w:highlight w:val="none"/>
                <w:lang w:val="en-US" w:eastAsia="zh-CN" w:bidi="ar"/>
              </w:rPr>
              <w:t>根据各投标人针对本项目提供的</w:t>
            </w:r>
            <w:r>
              <w:rPr>
                <w:rFonts w:hint="eastAsia" w:ascii="宋体" w:hAnsi="宋体" w:eastAsia="宋体" w:cs="宋体"/>
                <w:color w:val="auto"/>
                <w:szCs w:val="21"/>
                <w:highlight w:val="none"/>
                <w:lang w:bidi="ar"/>
              </w:rPr>
              <w:t>安全保卫方案</w:t>
            </w:r>
            <w:r>
              <w:rPr>
                <w:rFonts w:hint="eastAsia" w:ascii="宋体" w:hAnsi="宋体" w:eastAsia="宋体" w:cs="宋体"/>
                <w:color w:val="auto"/>
                <w:sz w:val="21"/>
                <w:szCs w:val="21"/>
                <w:highlight w:val="none"/>
                <w:lang w:val="en-US" w:eastAsia="zh-CN" w:bidi="ar"/>
              </w:rPr>
              <w:t>（包含：</w:t>
            </w:r>
            <w:r>
              <w:rPr>
                <w:rStyle w:val="40"/>
                <w:rFonts w:hint="eastAsia" w:ascii="宋体" w:hAnsi="宋体" w:eastAsia="宋体" w:cs="宋体"/>
                <w:b w:val="0"/>
                <w:color w:val="auto"/>
                <w:sz w:val="21"/>
                <w:szCs w:val="21"/>
                <w:highlight w:val="none"/>
                <w:lang w:bidi="ar"/>
              </w:rPr>
              <w:t>安全管理工作方法和措施、车辆管理及停车收费工作方法和措施、秩序维护管理方案及措施、异常保卫事件处理方法及程序</w:t>
            </w:r>
            <w:r>
              <w:rPr>
                <w:rFonts w:hint="eastAsia" w:ascii="宋体" w:hAnsi="宋体" w:eastAsia="宋体" w:cs="宋体"/>
                <w:color w:val="auto"/>
                <w:sz w:val="21"/>
                <w:szCs w:val="21"/>
                <w:highlight w:val="none"/>
                <w:lang w:val="en-US" w:eastAsia="zh-CN" w:bidi="ar"/>
              </w:rPr>
              <w:t>）进行综合评审，</w:t>
            </w:r>
            <w:r>
              <w:rPr>
                <w:rStyle w:val="40"/>
                <w:rFonts w:hint="eastAsia" w:ascii="宋体" w:hAnsi="宋体" w:eastAsia="宋体" w:cs="宋体"/>
                <w:b w:val="0"/>
                <w:color w:val="auto"/>
                <w:sz w:val="21"/>
                <w:szCs w:val="21"/>
                <w:highlight w:val="none"/>
                <w:lang w:bidi="ar"/>
              </w:rPr>
              <w:t>安全管理工作方法和措施、车辆管理及停车收费工作方法和措施、秩序维护管理方案及措施</w:t>
            </w:r>
            <w:r>
              <w:rPr>
                <w:rFonts w:hint="eastAsia" w:ascii="宋体" w:hAnsi="宋体" w:eastAsia="宋体" w:cs="宋体"/>
                <w:color w:val="auto"/>
                <w:sz w:val="21"/>
                <w:szCs w:val="21"/>
                <w:highlight w:val="none"/>
                <w:lang w:val="en-US" w:eastAsia="zh-CN" w:bidi="ar"/>
              </w:rPr>
              <w:t>得当且操作性强</w:t>
            </w:r>
            <w:r>
              <w:rPr>
                <w:rStyle w:val="40"/>
                <w:rFonts w:hint="eastAsia" w:ascii="宋体" w:hAnsi="宋体" w:eastAsia="宋体" w:cs="宋体"/>
                <w:b w:val="0"/>
                <w:color w:val="auto"/>
                <w:sz w:val="21"/>
                <w:szCs w:val="21"/>
                <w:highlight w:val="none"/>
                <w:lang w:eastAsia="zh-CN" w:bidi="ar"/>
              </w:rPr>
              <w:t>、</w:t>
            </w:r>
            <w:r>
              <w:rPr>
                <w:rStyle w:val="40"/>
                <w:rFonts w:hint="eastAsia" w:ascii="宋体" w:hAnsi="宋体" w:eastAsia="宋体" w:cs="宋体"/>
                <w:b w:val="0"/>
                <w:color w:val="auto"/>
                <w:sz w:val="21"/>
                <w:szCs w:val="21"/>
                <w:highlight w:val="none"/>
                <w:lang w:bidi="ar"/>
              </w:rPr>
              <w:t>异常保卫事件处理方法及程序</w:t>
            </w:r>
            <w:r>
              <w:rPr>
                <w:rStyle w:val="40"/>
                <w:rFonts w:hint="eastAsia" w:ascii="宋体" w:hAnsi="宋体" w:eastAsia="宋体" w:cs="宋体"/>
                <w:b w:val="0"/>
                <w:color w:val="auto"/>
                <w:sz w:val="21"/>
                <w:szCs w:val="21"/>
                <w:highlight w:val="none"/>
                <w:lang w:eastAsia="zh-CN" w:bidi="ar"/>
              </w:rPr>
              <w:t>合理可行的</w:t>
            </w:r>
            <w:r>
              <w:rPr>
                <w:rFonts w:hint="eastAsia" w:ascii="宋体" w:hAnsi="宋体" w:eastAsia="宋体" w:cs="宋体"/>
                <w:color w:val="auto"/>
                <w:sz w:val="21"/>
                <w:szCs w:val="21"/>
                <w:highlight w:val="none"/>
                <w:lang w:val="en-US" w:eastAsia="zh-CN" w:bidi="ar"/>
              </w:rPr>
              <w:t>，计8分，</w:t>
            </w:r>
            <w:r>
              <w:rPr>
                <w:rFonts w:hint="eastAsia" w:ascii="宋体" w:hAnsi="宋体" w:eastAsia="宋体" w:cs="宋体"/>
                <w:color w:val="auto"/>
                <w:kern w:val="2"/>
                <w:sz w:val="21"/>
                <w:szCs w:val="21"/>
                <w:highlight w:val="none"/>
                <w:lang w:val="en-US" w:eastAsia="zh-CN" w:bidi="ar"/>
              </w:rPr>
              <w:t>有缺漏项的每处扣2分，不合理或不完善的每处扣1分，扣完为止，未提供方案不计分。（注：不合理或不完善的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c>
          <w:tcPr>
            <w:tcW w:w="421"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6668AD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color w:val="auto"/>
                <w:spacing w:val="0"/>
                <w:w w:val="100"/>
                <w:sz w:val="21"/>
                <w:szCs w:val="24"/>
                <w:highlight w:val="none"/>
                <w:lang w:val="en-US" w:eastAsia="zh-CN"/>
              </w:rPr>
            </w:pPr>
            <w:r>
              <w:rPr>
                <w:rFonts w:hint="eastAsia" w:ascii="宋体" w:hAnsi="宋体" w:eastAsia="宋体" w:cs="宋体"/>
                <w:color w:val="auto"/>
                <w:sz w:val="21"/>
                <w:szCs w:val="21"/>
                <w:highlight w:val="none"/>
                <w:lang w:val="en-US" w:eastAsia="zh-CN"/>
              </w:rPr>
              <w:t>8</w:t>
            </w:r>
          </w:p>
        </w:tc>
      </w:tr>
      <w:tr w14:paraId="51FD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35776866">
            <w:pPr>
              <w:pStyle w:val="71"/>
              <w:spacing w:line="400" w:lineRule="exact"/>
              <w:jc w:val="center"/>
              <w:rPr>
                <w:rStyle w:val="40"/>
                <w:rFonts w:hint="eastAsia" w:ascii="宋体" w:hAnsi="宋体" w:eastAsia="宋体" w:cs="宋体"/>
                <w:b w:val="0"/>
                <w:color w:val="auto"/>
                <w:spacing w:val="0"/>
                <w:w w:val="100"/>
                <w:sz w:val="21"/>
                <w:szCs w:val="24"/>
                <w:highlight w:val="none"/>
                <w:lang w:val="en-US" w:eastAsia="zh-CN"/>
              </w:rPr>
            </w:pPr>
            <w:r>
              <w:rPr>
                <w:rStyle w:val="40"/>
                <w:rFonts w:hint="eastAsia" w:ascii="宋体" w:hAnsi="宋体" w:eastAsia="宋体" w:cs="宋体"/>
                <w:b w:val="0"/>
                <w:color w:val="auto"/>
                <w:spacing w:val="0"/>
                <w:w w:val="100"/>
                <w:sz w:val="21"/>
                <w:szCs w:val="24"/>
                <w:highlight w:val="none"/>
                <w:lang w:val="en-US" w:eastAsia="zh-CN"/>
              </w:rPr>
              <w:t>5</w:t>
            </w:r>
          </w:p>
        </w:tc>
        <w:tc>
          <w:tcPr>
            <w:tcW w:w="42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B8AE5F5">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消防与应急预案管理方案</w:t>
            </w:r>
          </w:p>
        </w:tc>
        <w:tc>
          <w:tcPr>
            <w:tcW w:w="6976" w:type="dxa"/>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727CF50">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sz w:val="21"/>
                <w:szCs w:val="21"/>
                <w:highlight w:val="none"/>
                <w:lang w:val="en-US" w:eastAsia="zh-CN" w:bidi="ar"/>
              </w:rPr>
              <w:t>根据各投标人针对本项目提供的消防与应急预案管理方案（包含：消防管理、应急机制的启动、应急组织机构的设置、各种突发事件的处置方案）进行综合评审，消防管理制度完善，应急机制的启动流程详细，应急组织机构的设置合理，各种突发事件的处置方案得当且操作性强的，计8分，</w:t>
            </w:r>
            <w:r>
              <w:rPr>
                <w:rFonts w:hint="eastAsia" w:ascii="宋体" w:hAnsi="宋体" w:eastAsia="宋体" w:cs="宋体"/>
                <w:color w:val="auto"/>
                <w:kern w:val="2"/>
                <w:sz w:val="21"/>
                <w:szCs w:val="21"/>
                <w:highlight w:val="none"/>
                <w:lang w:val="en-US" w:eastAsia="zh-CN" w:bidi="ar"/>
              </w:rPr>
              <w:t>有缺漏项的每处扣2分，不合理或不完善的每处扣1分，扣完为止，未提供方案不计分。（注：不合理或不完善的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c>
          <w:tcPr>
            <w:tcW w:w="421"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90958B2">
            <w:pPr>
              <w:pageBreakBefore w:val="0"/>
              <w:kinsoku/>
              <w:wordWrap/>
              <w:overflowPunct/>
              <w:topLinePunct w:val="0"/>
              <w:autoSpaceDE/>
              <w:autoSpaceDN/>
              <w:bidi w:val="0"/>
              <w:adjustRightInd/>
              <w:snapToGrid/>
              <w:spacing w:line="400" w:lineRule="exact"/>
              <w:jc w:val="center"/>
              <w:textAlignment w:val="auto"/>
              <w:rPr>
                <w:rStyle w:val="40"/>
                <w:rFonts w:hint="eastAsia" w:ascii="宋体" w:hAnsi="宋体" w:eastAsia="宋体" w:cs="宋体"/>
                <w:b w:val="0"/>
                <w:color w:val="auto"/>
                <w:spacing w:val="0"/>
                <w:w w:val="100"/>
                <w:sz w:val="21"/>
                <w:szCs w:val="24"/>
                <w:highlight w:val="none"/>
                <w:lang w:val="en-US" w:eastAsia="zh-CN"/>
              </w:rPr>
            </w:pPr>
            <w:r>
              <w:rPr>
                <w:rFonts w:hint="eastAsia" w:ascii="宋体" w:hAnsi="宋体" w:eastAsia="宋体" w:cs="宋体"/>
                <w:color w:val="auto"/>
                <w:sz w:val="21"/>
                <w:szCs w:val="21"/>
                <w:highlight w:val="none"/>
                <w:lang w:val="en-US" w:eastAsia="zh-CN"/>
              </w:rPr>
              <w:t>8</w:t>
            </w:r>
          </w:p>
        </w:tc>
      </w:tr>
      <w:tr w14:paraId="05AB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3B67D44A">
            <w:pPr>
              <w:pStyle w:val="71"/>
              <w:spacing w:line="400" w:lineRule="exact"/>
              <w:jc w:val="center"/>
              <w:rPr>
                <w:rStyle w:val="40"/>
                <w:rFonts w:hint="eastAsia" w:ascii="宋体" w:hAnsi="宋体" w:eastAsia="宋体" w:cs="宋体"/>
                <w:b w:val="0"/>
                <w:color w:val="auto"/>
                <w:spacing w:val="0"/>
                <w:w w:val="100"/>
                <w:sz w:val="21"/>
                <w:szCs w:val="24"/>
                <w:highlight w:val="none"/>
                <w:lang w:val="en-US" w:eastAsia="zh-CN"/>
              </w:rPr>
            </w:pPr>
            <w:r>
              <w:rPr>
                <w:rStyle w:val="40"/>
                <w:rFonts w:hint="eastAsia" w:ascii="宋体" w:hAnsi="宋体" w:eastAsia="宋体" w:cs="宋体"/>
                <w:b w:val="0"/>
                <w:color w:val="auto"/>
                <w:spacing w:val="0"/>
                <w:w w:val="100"/>
                <w:sz w:val="21"/>
                <w:szCs w:val="24"/>
                <w:highlight w:val="none"/>
                <w:lang w:val="en-US" w:eastAsia="zh-CN"/>
              </w:rPr>
              <w:t>6</w:t>
            </w:r>
          </w:p>
        </w:tc>
        <w:tc>
          <w:tcPr>
            <w:tcW w:w="42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70539981">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人员培训与管理方案</w:t>
            </w:r>
          </w:p>
        </w:tc>
        <w:tc>
          <w:tcPr>
            <w:tcW w:w="6976" w:type="dxa"/>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037696B9">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根据各投标人针对本项目提供的人员培训与管理方案（包含：各岗位人员安排及技能要求、服务管理制度、岗位责任制度、人员培训计划、日常管理制度）进行综合评审，各岗位人员安排详细到位、技能要求高、服务管理制度完善、岗位责任制度完善、人员培训计划详细完整、日常管理制度合理的，计10分，</w:t>
            </w:r>
            <w:r>
              <w:rPr>
                <w:rFonts w:hint="eastAsia" w:ascii="宋体" w:hAnsi="宋体" w:eastAsia="宋体" w:cs="宋体"/>
                <w:color w:val="auto"/>
                <w:kern w:val="2"/>
                <w:sz w:val="21"/>
                <w:szCs w:val="21"/>
                <w:highlight w:val="none"/>
                <w:lang w:val="en-US" w:eastAsia="zh-CN" w:bidi="ar"/>
              </w:rPr>
              <w:t>有缺漏项的每处扣2分，不合理或不完善的每处扣1分，扣完为止，未提供方案不计分。（注：不合理或不完善的是指具有明显缺陷，前后内容无法连贯，逻辑不通，文字内容不能清楚表达意图；内容脱离了该项目实际情况；与国家或行业相关政策法规或管理办法不符，或与行业惯例不符；不具备实施的可能性或套用其他项目方案或引用错误或前后内容不一致甚至矛盾或存在与本项目无关的内容。）</w:t>
            </w:r>
          </w:p>
        </w:tc>
        <w:tc>
          <w:tcPr>
            <w:tcW w:w="421"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00AE4DEF">
            <w:pPr>
              <w:pageBreakBefore w:val="0"/>
              <w:kinsoku/>
              <w:wordWrap/>
              <w:overflowPunct/>
              <w:topLinePunct w:val="0"/>
              <w:autoSpaceDE/>
              <w:autoSpaceDN/>
              <w:bidi w:val="0"/>
              <w:adjustRightInd/>
              <w:snapToGrid/>
              <w:spacing w:line="400" w:lineRule="exact"/>
              <w:jc w:val="center"/>
              <w:textAlignment w:val="auto"/>
              <w:rPr>
                <w:rStyle w:val="40"/>
                <w:rFonts w:hint="eastAsia" w:ascii="宋体" w:hAnsi="宋体" w:eastAsia="宋体" w:cs="宋体"/>
                <w:b w:val="0"/>
                <w:color w:val="auto"/>
                <w:spacing w:val="0"/>
                <w:w w:val="100"/>
                <w:sz w:val="21"/>
                <w:szCs w:val="24"/>
                <w:highlight w:val="none"/>
                <w:lang w:val="en-US" w:eastAsia="zh-CN"/>
              </w:rPr>
            </w:pPr>
            <w:r>
              <w:rPr>
                <w:rFonts w:hint="eastAsia" w:ascii="宋体" w:hAnsi="宋体" w:eastAsia="宋体" w:cs="宋体"/>
                <w:color w:val="auto"/>
                <w:sz w:val="21"/>
                <w:szCs w:val="21"/>
                <w:highlight w:val="none"/>
                <w:lang w:val="en-US" w:eastAsia="zh-CN"/>
              </w:rPr>
              <w:t>10</w:t>
            </w:r>
          </w:p>
        </w:tc>
      </w:tr>
    </w:tbl>
    <w:p w14:paraId="725E8A31">
      <w:pPr>
        <w:pStyle w:val="73"/>
        <w:jc w:val="center"/>
        <w:rPr>
          <w:rStyle w:val="40"/>
          <w:rFonts w:hint="eastAsia" w:ascii="宋体" w:hAnsi="宋体" w:eastAsia="宋体" w:cs="宋体"/>
          <w:color w:val="auto"/>
          <w:sz w:val="40"/>
          <w:highlight w:val="none"/>
        </w:rPr>
      </w:pPr>
    </w:p>
    <w:p w14:paraId="6FA72D3F">
      <w:pPr>
        <w:pStyle w:val="73"/>
        <w:jc w:val="center"/>
        <w:rPr>
          <w:rStyle w:val="40"/>
          <w:rFonts w:hint="eastAsia" w:ascii="宋体" w:hAnsi="宋体" w:eastAsia="宋体" w:cs="宋体"/>
          <w:color w:val="auto"/>
          <w:sz w:val="40"/>
          <w:highlight w:val="none"/>
        </w:rPr>
      </w:pPr>
      <w:r>
        <w:rPr>
          <w:rStyle w:val="40"/>
          <w:rFonts w:hint="eastAsia" w:ascii="宋体" w:hAnsi="宋体" w:eastAsia="宋体" w:cs="宋体"/>
          <w:color w:val="auto"/>
          <w:sz w:val="40"/>
          <w:highlight w:val="none"/>
        </w:rPr>
        <w:t>商务评审</w:t>
      </w:r>
    </w:p>
    <w:tbl>
      <w:tblPr>
        <w:tblStyle w:val="38"/>
        <w:tblW w:w="5427" w:type="pct"/>
        <w:tblInd w:w="-3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796"/>
        <w:gridCol w:w="6768"/>
        <w:gridCol w:w="924"/>
      </w:tblGrid>
      <w:tr w14:paraId="6E71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A7ABDBB">
            <w:pPr>
              <w:pStyle w:val="74"/>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序号</w:t>
            </w:r>
          </w:p>
        </w:tc>
        <w:tc>
          <w:tcPr>
            <w:tcW w:w="4087" w:type="pct"/>
            <w:gridSpan w:val="2"/>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0EC30806">
            <w:pPr>
              <w:pStyle w:val="74"/>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评审因素</w:t>
            </w:r>
          </w:p>
        </w:tc>
        <w:tc>
          <w:tcPr>
            <w:tcW w:w="499"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320F38BB">
            <w:pPr>
              <w:pStyle w:val="74"/>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权值</w:t>
            </w:r>
          </w:p>
        </w:tc>
      </w:tr>
      <w:tr w14:paraId="7C83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39312926">
            <w:pPr>
              <w:pStyle w:val="74"/>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1</w:t>
            </w:r>
          </w:p>
        </w:tc>
        <w:tc>
          <w:tcPr>
            <w:tcW w:w="43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FC31F8D">
            <w:pPr>
              <w:pStyle w:val="11"/>
              <w:widowControl w:val="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企业</w:t>
            </w:r>
          </w:p>
          <w:p w14:paraId="25138075">
            <w:pPr>
              <w:pStyle w:val="11"/>
              <w:widowControl w:val="0"/>
              <w:jc w:val="center"/>
              <w:rPr>
                <w:rFonts w:hint="eastAsia" w:ascii="宋体" w:hAnsi="宋体" w:eastAsia="宋体" w:cs="宋体"/>
                <w:b w:val="0"/>
                <w:color w:val="auto"/>
                <w:spacing w:val="0"/>
                <w:w w:val="100"/>
                <w:kern w:val="2"/>
                <w:sz w:val="21"/>
                <w:szCs w:val="21"/>
                <w:highlight w:val="none"/>
              </w:rPr>
            </w:pPr>
            <w:r>
              <w:rPr>
                <w:rFonts w:hint="eastAsia" w:ascii="宋体" w:hAnsi="宋体" w:eastAsia="宋体" w:cs="宋体"/>
                <w:color w:val="auto"/>
                <w:kern w:val="2"/>
                <w:sz w:val="21"/>
                <w:szCs w:val="21"/>
                <w:highlight w:val="none"/>
                <w:lang w:val="en-US" w:eastAsia="zh-CN"/>
              </w:rPr>
              <w:t>业绩</w:t>
            </w:r>
          </w:p>
        </w:tc>
        <w:tc>
          <w:tcPr>
            <w:tcW w:w="3656"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98A8BD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val="0"/>
                <w:color w:val="auto"/>
                <w:spacing w:val="0"/>
                <w:w w:val="100"/>
                <w:kern w:val="2"/>
                <w:sz w:val="21"/>
                <w:szCs w:val="21"/>
                <w:highlight w:val="none"/>
              </w:rPr>
            </w:pPr>
            <w:r>
              <w:rPr>
                <w:rFonts w:hint="eastAsia" w:ascii="宋体" w:hAnsi="宋体" w:eastAsia="宋体" w:cs="宋体"/>
                <w:b w:val="0"/>
                <w:color w:val="auto"/>
                <w:spacing w:val="0"/>
                <w:w w:val="100"/>
                <w:kern w:val="2"/>
                <w:sz w:val="21"/>
                <w:szCs w:val="21"/>
                <w:highlight w:val="none"/>
              </w:rPr>
              <w:t>投标人近三年（投标截止时间前36个月）具有物业管理业绩的，每提供一个计4分，最多计8分。</w:t>
            </w:r>
          </w:p>
          <w:p w14:paraId="1F21BAE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val="0"/>
                <w:color w:val="auto"/>
                <w:spacing w:val="0"/>
                <w:w w:val="100"/>
                <w:kern w:val="2"/>
                <w:sz w:val="21"/>
                <w:szCs w:val="21"/>
                <w:highlight w:val="none"/>
              </w:rPr>
            </w:pPr>
            <w:r>
              <w:rPr>
                <w:rFonts w:hint="eastAsia" w:ascii="宋体" w:hAnsi="宋体" w:eastAsia="宋体" w:cs="宋体"/>
                <w:b w:val="0"/>
                <w:color w:val="auto"/>
                <w:spacing w:val="0"/>
                <w:w w:val="100"/>
                <w:kern w:val="2"/>
                <w:sz w:val="21"/>
                <w:szCs w:val="21"/>
                <w:highlight w:val="none"/>
              </w:rPr>
              <w:t>备注：1、以合同签订时间为准，如合同签订时间超过三年（投标截止时间前36个月），但处于有效服务期限内的，视为有效业绩；</w:t>
            </w:r>
          </w:p>
          <w:p w14:paraId="20108D6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val="0"/>
                <w:color w:val="auto"/>
                <w:spacing w:val="0"/>
                <w:w w:val="100"/>
                <w:kern w:val="2"/>
                <w:sz w:val="21"/>
                <w:szCs w:val="21"/>
                <w:highlight w:val="none"/>
              </w:rPr>
            </w:pPr>
            <w:r>
              <w:rPr>
                <w:rFonts w:hint="eastAsia" w:ascii="宋体" w:hAnsi="宋体" w:eastAsia="宋体" w:cs="宋体"/>
                <w:b w:val="0"/>
                <w:color w:val="auto"/>
                <w:spacing w:val="0"/>
                <w:w w:val="100"/>
                <w:kern w:val="2"/>
                <w:sz w:val="21"/>
                <w:szCs w:val="21"/>
                <w:highlight w:val="none"/>
              </w:rPr>
              <w:t>2、类似业绩资料要求：提供合同复印件、合同项目物业服务中心现场照片及客服固定电话；所提供合同服务内容须包含保安、保洁、工程维修、客户服务等其中至少两项服务，投标人提供的关键页面中未能显示提供包含服务内容的为无效业绩</w:t>
            </w:r>
            <w:r>
              <w:rPr>
                <w:rFonts w:hint="eastAsia" w:ascii="宋体" w:hAnsi="宋体" w:eastAsia="宋体" w:cs="宋体"/>
                <w:b w:val="0"/>
                <w:color w:val="auto"/>
                <w:spacing w:val="0"/>
                <w:w w:val="100"/>
                <w:kern w:val="2"/>
                <w:sz w:val="21"/>
                <w:szCs w:val="21"/>
                <w:highlight w:val="none"/>
                <w:lang w:val="en-US" w:eastAsia="zh-CN"/>
              </w:rPr>
              <w:t xml:space="preserve"> </w:t>
            </w:r>
            <w:r>
              <w:rPr>
                <w:rFonts w:hint="eastAsia" w:ascii="宋体" w:hAnsi="宋体" w:eastAsia="宋体" w:cs="宋体"/>
                <w:b w:val="0"/>
                <w:color w:val="auto"/>
                <w:spacing w:val="0"/>
                <w:w w:val="100"/>
                <w:kern w:val="2"/>
                <w:sz w:val="21"/>
                <w:szCs w:val="21"/>
                <w:highlight w:val="none"/>
              </w:rPr>
              <w:t>。</w:t>
            </w:r>
          </w:p>
        </w:tc>
        <w:tc>
          <w:tcPr>
            <w:tcW w:w="499"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67440A05">
            <w:pPr>
              <w:pStyle w:val="11"/>
              <w:jc w:val="center"/>
              <w:rPr>
                <w:rFonts w:hint="eastAsia" w:ascii="宋体" w:hAnsi="宋体" w:eastAsia="宋体" w:cs="宋体"/>
                <w:b w:val="0"/>
                <w:color w:val="auto"/>
                <w:spacing w:val="0"/>
                <w:w w:val="100"/>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w:t>
            </w:r>
          </w:p>
        </w:tc>
      </w:tr>
      <w:tr w14:paraId="3BE0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69680DC">
            <w:pPr>
              <w:pStyle w:val="74"/>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2</w:t>
            </w:r>
          </w:p>
        </w:tc>
        <w:tc>
          <w:tcPr>
            <w:tcW w:w="43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6FF87711">
            <w:pPr>
              <w:pStyle w:val="11"/>
              <w:widowControl w:val="0"/>
              <w:jc w:val="center"/>
              <w:rPr>
                <w:rFonts w:hint="eastAsia" w:ascii="宋体" w:hAnsi="宋体" w:eastAsia="宋体" w:cs="宋体"/>
                <w:b w:val="0"/>
                <w:color w:val="auto"/>
                <w:spacing w:val="0"/>
                <w:w w:val="100"/>
                <w:kern w:val="2"/>
                <w:sz w:val="21"/>
                <w:szCs w:val="21"/>
                <w:highlight w:val="none"/>
                <w:lang w:val="en-US" w:eastAsia="zh-CN"/>
              </w:rPr>
            </w:pPr>
            <w:r>
              <w:rPr>
                <w:rStyle w:val="40"/>
                <w:rFonts w:hint="eastAsia" w:ascii="宋体" w:hAnsi="宋体" w:eastAsia="宋体" w:cs="宋体"/>
                <w:b w:val="0"/>
                <w:color w:val="auto"/>
                <w:sz w:val="21"/>
                <w:szCs w:val="24"/>
                <w:highlight w:val="none"/>
              </w:rPr>
              <w:t>团队人员配备</w:t>
            </w:r>
          </w:p>
        </w:tc>
        <w:tc>
          <w:tcPr>
            <w:tcW w:w="3656"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71737093">
            <w:pPr>
              <w:widowControl/>
              <w:spacing w:line="360" w:lineRule="auto"/>
              <w:outlineLvl w:val="9"/>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项目经理：</w:t>
            </w:r>
          </w:p>
          <w:p w14:paraId="4DFFB83E">
            <w:pPr>
              <w:widowControl/>
              <w:spacing w:line="360" w:lineRule="auto"/>
              <w:outlineLvl w:val="9"/>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1、拟任本项目的项目负责人具有全国物业管理企业经理证或一级人力资源管理师证或物业管理师注册证的，计2分。</w:t>
            </w:r>
          </w:p>
          <w:p w14:paraId="2E918748">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val="en-US" w:eastAsia="zh-CN"/>
              </w:rPr>
              <w:t>2、拟任本项目的项目负责人</w:t>
            </w:r>
            <w:r>
              <w:rPr>
                <w:rStyle w:val="40"/>
                <w:rFonts w:hint="eastAsia" w:ascii="宋体" w:hAnsi="宋体" w:eastAsia="宋体" w:cs="宋体"/>
                <w:b w:val="0"/>
                <w:color w:val="auto"/>
                <w:kern w:val="2"/>
                <w:sz w:val="21"/>
                <w:szCs w:val="24"/>
                <w:highlight w:val="none"/>
              </w:rPr>
              <w:t>近三年（</w:t>
            </w:r>
            <w:r>
              <w:rPr>
                <w:rStyle w:val="40"/>
                <w:rFonts w:hint="eastAsia" w:ascii="宋体" w:hAnsi="宋体" w:eastAsia="宋体" w:cs="宋体"/>
                <w:b w:val="0"/>
                <w:color w:val="auto"/>
                <w:kern w:val="2"/>
                <w:sz w:val="21"/>
                <w:szCs w:val="24"/>
                <w:highlight w:val="none"/>
                <w:lang w:eastAsia="zh-CN"/>
              </w:rPr>
              <w:t>投标</w:t>
            </w:r>
            <w:r>
              <w:rPr>
                <w:rStyle w:val="40"/>
                <w:rFonts w:hint="eastAsia" w:ascii="宋体" w:hAnsi="宋体" w:eastAsia="宋体" w:cs="宋体"/>
                <w:b w:val="0"/>
                <w:color w:val="auto"/>
                <w:kern w:val="2"/>
                <w:sz w:val="21"/>
                <w:szCs w:val="24"/>
                <w:highlight w:val="none"/>
                <w:lang w:val="en-US" w:eastAsia="zh-CN"/>
              </w:rPr>
              <w:t>文件递交</w:t>
            </w:r>
            <w:r>
              <w:rPr>
                <w:rStyle w:val="40"/>
                <w:rFonts w:hint="eastAsia" w:ascii="宋体" w:hAnsi="宋体" w:eastAsia="宋体" w:cs="宋体"/>
                <w:b w:val="0"/>
                <w:color w:val="auto"/>
                <w:kern w:val="2"/>
                <w:sz w:val="21"/>
                <w:szCs w:val="24"/>
                <w:highlight w:val="none"/>
              </w:rPr>
              <w:t>截止日前36个月）</w:t>
            </w:r>
            <w:r>
              <w:rPr>
                <w:rFonts w:hint="eastAsia" w:ascii="宋体" w:hAnsi="宋体" w:eastAsia="宋体" w:cs="宋体"/>
                <w:color w:val="auto"/>
                <w:kern w:val="2"/>
                <w:sz w:val="21"/>
                <w:szCs w:val="21"/>
                <w:highlight w:val="none"/>
                <w:lang w:eastAsia="zh-CN"/>
              </w:rPr>
              <w:t>以来具有</w:t>
            </w:r>
            <w:r>
              <w:rPr>
                <w:rFonts w:hint="eastAsia" w:ascii="宋体" w:hAnsi="宋体" w:eastAsia="宋体" w:cs="宋体"/>
                <w:color w:val="auto"/>
                <w:kern w:val="2"/>
                <w:sz w:val="21"/>
                <w:szCs w:val="21"/>
                <w:highlight w:val="none"/>
                <w:lang w:val="en-US" w:eastAsia="zh-CN"/>
              </w:rPr>
              <w:t>物业管理</w:t>
            </w:r>
            <w:r>
              <w:rPr>
                <w:rFonts w:hint="eastAsia" w:ascii="宋体" w:hAnsi="宋体" w:eastAsia="宋体" w:cs="宋体"/>
                <w:color w:val="auto"/>
                <w:kern w:val="2"/>
                <w:sz w:val="21"/>
                <w:szCs w:val="21"/>
                <w:highlight w:val="none"/>
                <w:lang w:eastAsia="zh-CN"/>
              </w:rPr>
              <w:t>业绩</w:t>
            </w:r>
            <w:r>
              <w:rPr>
                <w:rFonts w:hint="eastAsia" w:ascii="宋体" w:hAnsi="宋体" w:eastAsia="宋体" w:cs="宋体"/>
                <w:color w:val="auto"/>
                <w:kern w:val="2"/>
                <w:sz w:val="21"/>
                <w:szCs w:val="21"/>
                <w:highlight w:val="none"/>
                <w:lang w:val="en-US" w:eastAsia="zh-CN"/>
              </w:rPr>
              <w:t>的</w:t>
            </w:r>
            <w:r>
              <w:rPr>
                <w:rFonts w:hint="eastAsia" w:ascii="宋体" w:hAnsi="宋体" w:eastAsia="宋体" w:cs="宋体"/>
                <w:color w:val="auto"/>
                <w:kern w:val="2"/>
                <w:sz w:val="21"/>
                <w:szCs w:val="21"/>
                <w:highlight w:val="none"/>
                <w:lang w:eastAsia="zh-CN"/>
              </w:rPr>
              <w:t>计</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eastAsia="zh-CN"/>
              </w:rPr>
              <w:t>分。</w:t>
            </w:r>
          </w:p>
          <w:p w14:paraId="5AF1B2B1">
            <w:pPr>
              <w:widowControl/>
              <w:spacing w:line="360" w:lineRule="auto"/>
              <w:outlineLvl w:val="9"/>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（提供①相关证书复印件、②业绩合同或中标/成交通知书复印件、③业绩合同</w:t>
            </w:r>
            <w:r>
              <w:rPr>
                <w:rFonts w:hint="eastAsia" w:ascii="宋体" w:hAnsi="宋体" w:eastAsia="宋体" w:cs="宋体"/>
                <w:b/>
                <w:bCs/>
                <w:color w:val="auto"/>
                <w:kern w:val="2"/>
                <w:sz w:val="21"/>
                <w:szCs w:val="21"/>
                <w:highlight w:val="none"/>
                <w:lang w:val="en-US" w:eastAsia="zh-CN"/>
              </w:rPr>
              <w:t>以合同签订时间为准，如合同签订时间超过三年（投标截止时间前36个月），但处于有效服务期限内的，视为有效业绩</w:t>
            </w:r>
            <w:r>
              <w:rPr>
                <w:rFonts w:hint="eastAsia" w:ascii="宋体" w:hAnsi="宋体" w:eastAsia="宋体" w:cs="宋体"/>
                <w:b/>
                <w:bCs/>
                <w:color w:val="auto"/>
                <w:szCs w:val="21"/>
                <w:highlight w:val="none"/>
                <w:lang w:val="en-US" w:eastAsia="zh-CN"/>
              </w:rPr>
              <w:t>、④在本单位购买的近三个月内（</w:t>
            </w:r>
            <w:bookmarkStart w:id="289" w:name="_GoBack"/>
            <w:bookmarkEnd w:id="289"/>
            <w:r>
              <w:rPr>
                <w:rFonts w:hint="eastAsia" w:ascii="宋体" w:hAnsi="宋体" w:cs="宋体"/>
                <w:b/>
                <w:bCs/>
                <w:color w:val="auto"/>
                <w:szCs w:val="21"/>
                <w:highlight w:val="none"/>
                <w:lang w:val="en-US" w:eastAsia="zh-CN"/>
              </w:rPr>
              <w:t>2026年6月-2026年8月</w:t>
            </w:r>
            <w:r>
              <w:rPr>
                <w:rFonts w:hint="eastAsia" w:ascii="宋体" w:hAnsi="宋体" w:eastAsia="宋体" w:cs="宋体"/>
                <w:b/>
                <w:bCs/>
                <w:color w:val="auto"/>
                <w:szCs w:val="21"/>
                <w:highlight w:val="none"/>
                <w:lang w:val="en-US" w:eastAsia="zh-CN"/>
              </w:rPr>
              <w:t>）任意一个月的社保证明等材料，并加盖投标单位公章，否则不计分）</w:t>
            </w:r>
          </w:p>
          <w:p w14:paraId="400E5B28">
            <w:pPr>
              <w:widowControl/>
              <w:spacing w:line="360" w:lineRule="auto"/>
              <w:outlineLvl w:val="9"/>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团队其他工作人员：</w:t>
            </w:r>
          </w:p>
          <w:p w14:paraId="60A0755E">
            <w:pPr>
              <w:widowControl/>
              <w:spacing w:line="360" w:lineRule="auto"/>
              <w:outlineLvl w:val="9"/>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1、拟任保安主管具有保安管理师（国家职业资格二级）及以上资格证书的，计2分。</w:t>
            </w:r>
          </w:p>
          <w:p w14:paraId="6C4B46E8">
            <w:pPr>
              <w:widowControl/>
              <w:spacing w:line="360" w:lineRule="auto"/>
              <w:outlineLvl w:val="9"/>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2、拟任工程主管具有高级建筑电气工程师证的计2分，具有中级及以上工程师证书的计1分。最多计2分。</w:t>
            </w:r>
          </w:p>
          <w:p w14:paraId="366FECA0">
            <w:pPr>
              <w:widowControl/>
              <w:spacing w:line="360" w:lineRule="auto"/>
              <w:outlineLvl w:val="9"/>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3、拟任工程主管具有高低压操作证的，计2分；</w:t>
            </w:r>
          </w:p>
          <w:p w14:paraId="46A31B10">
            <w:pPr>
              <w:widowControl/>
              <w:spacing w:line="360" w:lineRule="auto"/>
              <w:outlineLvl w:val="9"/>
              <w:rPr>
                <w:rFonts w:hint="eastAsia" w:ascii="宋体" w:hAnsi="宋体" w:eastAsia="宋体" w:cs="宋体"/>
                <w:i w:val="0"/>
                <w:iCs w:val="0"/>
                <w:caps w:val="0"/>
                <w:color w:val="auto"/>
                <w:spacing w:val="0"/>
                <w:sz w:val="21"/>
                <w:szCs w:val="21"/>
                <w:highlight w:val="none"/>
                <w:shd w:val="clear" w:color="auto" w:fill="auto"/>
                <w:lang w:val="en-US" w:eastAsia="zh-CN"/>
              </w:rPr>
            </w:pPr>
            <w:r>
              <w:rPr>
                <w:rFonts w:hint="eastAsia" w:ascii="宋体" w:hAnsi="宋体" w:eastAsia="宋体" w:cs="宋体"/>
                <w:b/>
                <w:bCs/>
                <w:color w:val="auto"/>
                <w:kern w:val="2"/>
                <w:sz w:val="21"/>
                <w:szCs w:val="21"/>
                <w:highlight w:val="none"/>
                <w:lang w:val="en-US" w:eastAsia="zh-CN"/>
              </w:rPr>
              <w:t>（提供以上团队人员证书、身份证复印件并加盖投标单位公章，</w:t>
            </w:r>
            <w:r>
              <w:rPr>
                <w:rFonts w:hint="eastAsia" w:ascii="宋体" w:hAnsi="宋体" w:eastAsia="宋体" w:cs="宋体"/>
                <w:b/>
                <w:bCs/>
                <w:color w:val="auto"/>
                <w:kern w:val="2"/>
                <w:sz w:val="21"/>
                <w:szCs w:val="21"/>
                <w:highlight w:val="none"/>
                <w:lang w:eastAsia="zh-CN"/>
              </w:rPr>
              <w:t>未按要求提供不计分。</w:t>
            </w:r>
            <w:r>
              <w:rPr>
                <w:rFonts w:hint="eastAsia" w:ascii="宋体" w:hAnsi="宋体" w:eastAsia="宋体" w:cs="宋体"/>
                <w:b/>
                <w:bCs/>
                <w:color w:val="auto"/>
                <w:kern w:val="2"/>
                <w:sz w:val="21"/>
                <w:szCs w:val="21"/>
                <w:highlight w:val="none"/>
                <w:lang w:val="en-US" w:eastAsia="zh-CN"/>
              </w:rPr>
              <w:t>）</w:t>
            </w:r>
          </w:p>
        </w:tc>
        <w:tc>
          <w:tcPr>
            <w:tcW w:w="499"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55F25CBE">
            <w:pPr>
              <w:pStyle w:val="11"/>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color w:val="auto"/>
                <w:spacing w:val="0"/>
                <w:w w:val="100"/>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12</w:t>
            </w:r>
          </w:p>
        </w:tc>
      </w:tr>
    </w:tbl>
    <w:p w14:paraId="320A5E32">
      <w:pPr>
        <w:pStyle w:val="75"/>
        <w:jc w:val="center"/>
        <w:rPr>
          <w:rStyle w:val="40"/>
          <w:rFonts w:hint="eastAsia" w:ascii="宋体" w:hAnsi="宋体" w:eastAsia="宋体" w:cs="宋体"/>
          <w:color w:val="auto"/>
          <w:sz w:val="40"/>
          <w:highlight w:val="none"/>
        </w:rPr>
      </w:pPr>
      <w:r>
        <w:rPr>
          <w:rStyle w:val="40"/>
          <w:rFonts w:hint="eastAsia" w:ascii="宋体" w:hAnsi="宋体" w:eastAsia="宋体" w:cs="宋体"/>
          <w:color w:val="auto"/>
          <w:sz w:val="40"/>
          <w:highlight w:val="none"/>
        </w:rPr>
        <w:t>其他</w:t>
      </w:r>
    </w:p>
    <w:tbl>
      <w:tblPr>
        <w:tblStyle w:val="38"/>
        <w:tblW w:w="5428" w:type="pct"/>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1"/>
        <w:gridCol w:w="3867"/>
        <w:gridCol w:w="2723"/>
      </w:tblGrid>
      <w:tr w14:paraId="6C89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tcFitText/>
            <w:vAlign w:val="center"/>
          </w:tcPr>
          <w:p w14:paraId="01CA91C1">
            <w:pPr>
              <w:pStyle w:val="76"/>
              <w:jc w:val="center"/>
              <w:rPr>
                <w:rStyle w:val="40"/>
                <w:rFonts w:hint="eastAsia" w:ascii="宋体" w:hAnsi="宋体" w:eastAsia="宋体" w:cs="宋体"/>
                <w:b w:val="0"/>
                <w:color w:val="auto"/>
                <w:sz w:val="21"/>
                <w:szCs w:val="24"/>
                <w:highlight w:val="none"/>
              </w:rPr>
            </w:pPr>
            <w:r>
              <w:rPr>
                <w:rStyle w:val="40"/>
                <w:rFonts w:hint="eastAsia" w:ascii="宋体" w:hAnsi="宋体" w:eastAsia="宋体" w:cs="宋体"/>
                <w:b w:val="0"/>
                <w:color w:val="auto"/>
                <w:spacing w:val="1007"/>
                <w:sz w:val="21"/>
                <w:szCs w:val="24"/>
                <w:highlight w:val="none"/>
              </w:rPr>
              <w:t>序</w:t>
            </w:r>
            <w:r>
              <w:rPr>
                <w:rStyle w:val="40"/>
                <w:rFonts w:hint="eastAsia" w:ascii="宋体" w:hAnsi="宋体" w:eastAsia="宋体" w:cs="宋体"/>
                <w:b w:val="0"/>
                <w:color w:val="auto"/>
                <w:sz w:val="21"/>
                <w:szCs w:val="24"/>
                <w:highlight w:val="none"/>
              </w:rPr>
              <w:t>号</w:t>
            </w:r>
          </w:p>
        </w:tc>
        <w:tc>
          <w:tcPr>
            <w:tcW w:w="2089" w:type="pct"/>
            <w:tcBorders>
              <w:top w:val="single" w:color="000000" w:sz="2" w:space="0"/>
              <w:left w:val="single" w:color="000000" w:sz="2" w:space="0"/>
              <w:bottom w:val="single" w:color="000000" w:sz="2" w:space="0"/>
              <w:right w:val="single" w:color="000000" w:sz="2" w:space="0"/>
            </w:tcBorders>
            <w:noWrap w:val="0"/>
            <w:tcMar>
              <w:top w:w="100" w:type="dxa"/>
              <w:bottom w:w="100" w:type="dxa"/>
            </w:tcMar>
            <w:tcFitText/>
            <w:vAlign w:val="center"/>
          </w:tcPr>
          <w:p w14:paraId="0B470EA5">
            <w:pPr>
              <w:pStyle w:val="76"/>
              <w:jc w:val="center"/>
              <w:rPr>
                <w:rStyle w:val="40"/>
                <w:rFonts w:hint="eastAsia" w:ascii="宋体" w:hAnsi="宋体" w:eastAsia="宋体" w:cs="宋体"/>
                <w:b w:val="0"/>
                <w:color w:val="auto"/>
                <w:sz w:val="21"/>
                <w:szCs w:val="24"/>
                <w:highlight w:val="none"/>
              </w:rPr>
            </w:pPr>
            <w:r>
              <w:rPr>
                <w:rStyle w:val="40"/>
                <w:rFonts w:hint="eastAsia" w:ascii="宋体" w:hAnsi="宋体" w:eastAsia="宋体" w:cs="宋体"/>
                <w:b w:val="0"/>
                <w:color w:val="auto"/>
                <w:spacing w:val="466"/>
                <w:sz w:val="21"/>
                <w:szCs w:val="24"/>
                <w:highlight w:val="none"/>
              </w:rPr>
              <w:t>评审因</w:t>
            </w:r>
            <w:r>
              <w:rPr>
                <w:rStyle w:val="40"/>
                <w:rFonts w:hint="eastAsia" w:ascii="宋体" w:hAnsi="宋体" w:eastAsia="宋体" w:cs="宋体"/>
                <w:b w:val="0"/>
                <w:color w:val="auto"/>
                <w:sz w:val="21"/>
                <w:szCs w:val="24"/>
                <w:highlight w:val="none"/>
              </w:rPr>
              <w:t>素</w:t>
            </w:r>
          </w:p>
        </w:tc>
        <w:tc>
          <w:tcPr>
            <w:tcW w:w="14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tcFitText/>
            <w:vAlign w:val="center"/>
          </w:tcPr>
          <w:p w14:paraId="5A8A6141">
            <w:pPr>
              <w:pStyle w:val="76"/>
              <w:jc w:val="center"/>
              <w:rPr>
                <w:rStyle w:val="40"/>
                <w:rFonts w:hint="eastAsia" w:ascii="宋体" w:hAnsi="宋体" w:eastAsia="宋体" w:cs="宋体"/>
                <w:b w:val="0"/>
                <w:color w:val="auto"/>
                <w:sz w:val="21"/>
                <w:szCs w:val="24"/>
                <w:highlight w:val="none"/>
              </w:rPr>
            </w:pPr>
            <w:r>
              <w:rPr>
                <w:rStyle w:val="40"/>
                <w:rFonts w:hint="eastAsia" w:ascii="宋体" w:hAnsi="宋体" w:eastAsia="宋体" w:cs="宋体"/>
                <w:b w:val="0"/>
                <w:color w:val="auto"/>
                <w:spacing w:val="1038"/>
                <w:sz w:val="21"/>
                <w:szCs w:val="24"/>
                <w:highlight w:val="none"/>
              </w:rPr>
              <w:t>权</w:t>
            </w:r>
            <w:r>
              <w:rPr>
                <w:rStyle w:val="40"/>
                <w:rFonts w:hint="eastAsia" w:ascii="宋体" w:hAnsi="宋体" w:eastAsia="宋体" w:cs="宋体"/>
                <w:b w:val="0"/>
                <w:color w:val="auto"/>
                <w:sz w:val="21"/>
                <w:szCs w:val="24"/>
                <w:highlight w:val="none"/>
              </w:rPr>
              <w:t>值</w:t>
            </w:r>
          </w:p>
        </w:tc>
      </w:tr>
    </w:tbl>
    <w:p w14:paraId="6F883CDD">
      <w:pPr>
        <w:pStyle w:val="77"/>
        <w:jc w:val="center"/>
        <w:rPr>
          <w:rStyle w:val="40"/>
          <w:rFonts w:hint="eastAsia" w:ascii="宋体" w:hAnsi="宋体" w:eastAsia="宋体" w:cs="宋体"/>
          <w:color w:val="auto"/>
          <w:sz w:val="36"/>
          <w:highlight w:val="none"/>
        </w:rPr>
      </w:pPr>
      <w:r>
        <w:rPr>
          <w:rStyle w:val="40"/>
          <w:rFonts w:hint="eastAsia" w:ascii="宋体" w:hAnsi="宋体" w:eastAsia="宋体" w:cs="宋体"/>
          <w:color w:val="auto"/>
          <w:sz w:val="36"/>
          <w:highlight w:val="none"/>
        </w:rPr>
        <w:t>★条款汇总</w:t>
      </w:r>
    </w:p>
    <w:tbl>
      <w:tblPr>
        <w:tblStyle w:val="38"/>
        <w:tblW w:w="5438" w:type="pct"/>
        <w:tblInd w:w="-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4"/>
        <w:gridCol w:w="8175"/>
      </w:tblGrid>
      <w:tr w14:paraId="5D44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4EA8A9F2">
            <w:pPr>
              <w:pStyle w:val="78"/>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序号</w:t>
            </w:r>
          </w:p>
        </w:tc>
        <w:tc>
          <w:tcPr>
            <w:tcW w:w="4409" w:type="pct"/>
            <w:tcBorders>
              <w:top w:val="single" w:color="000000" w:sz="2" w:space="0"/>
              <w:left w:val="single" w:color="000000" w:sz="2" w:space="0"/>
              <w:bottom w:val="single" w:color="000000" w:sz="2" w:space="0"/>
              <w:right w:val="single" w:color="000000" w:sz="2" w:space="0"/>
            </w:tcBorders>
            <w:noWrap w:val="0"/>
            <w:tcMar>
              <w:top w:w="102" w:type="dxa"/>
              <w:bottom w:w="102" w:type="dxa"/>
            </w:tcMar>
            <w:vAlign w:val="center"/>
          </w:tcPr>
          <w:p w14:paraId="15727806">
            <w:pPr>
              <w:pStyle w:val="78"/>
              <w:jc w:val="center"/>
              <w:rPr>
                <w:rStyle w:val="40"/>
                <w:rFonts w:hint="eastAsia" w:ascii="宋体" w:hAnsi="宋体" w:eastAsia="宋体" w:cs="宋体"/>
                <w:b w:val="0"/>
                <w:color w:val="auto"/>
                <w:spacing w:val="0"/>
                <w:w w:val="100"/>
                <w:sz w:val="21"/>
                <w:szCs w:val="24"/>
                <w:highlight w:val="none"/>
              </w:rPr>
            </w:pPr>
            <w:r>
              <w:rPr>
                <w:rStyle w:val="40"/>
                <w:rFonts w:hint="eastAsia" w:ascii="宋体" w:hAnsi="宋体" w:eastAsia="宋体" w:cs="宋体"/>
                <w:b w:val="0"/>
                <w:color w:val="auto"/>
                <w:spacing w:val="0"/>
                <w:w w:val="100"/>
                <w:sz w:val="21"/>
                <w:szCs w:val="24"/>
                <w:highlight w:val="none"/>
              </w:rPr>
              <w:t>条款内容</w:t>
            </w:r>
          </w:p>
        </w:tc>
      </w:tr>
    </w:tbl>
    <w:p w14:paraId="3E1D9208">
      <w:pPr>
        <w:pStyle w:val="79"/>
        <w:rPr>
          <w:rStyle w:val="40"/>
          <w:rFonts w:hint="eastAsia" w:ascii="宋体" w:hAnsi="宋体" w:eastAsia="宋体" w:cs="宋体"/>
          <w:b w:val="0"/>
          <w:color w:val="auto"/>
          <w:sz w:val="24"/>
          <w:highlight w:val="none"/>
        </w:rPr>
      </w:pPr>
      <w:r>
        <w:rPr>
          <w:rStyle w:val="40"/>
          <w:rFonts w:hint="eastAsia" w:ascii="宋体" w:hAnsi="宋体" w:eastAsia="宋体" w:cs="宋体"/>
          <w:b w:val="0"/>
          <w:color w:val="auto"/>
          <w:sz w:val="24"/>
          <w:highlight w:val="none"/>
        </w:rPr>
        <w:t>商务部分</w:t>
      </w:r>
      <w:r>
        <w:rPr>
          <w:rStyle w:val="40"/>
          <w:rFonts w:hint="eastAsia" w:ascii="宋体" w:hAnsi="宋体" w:eastAsia="宋体" w:cs="宋体"/>
          <w:b w:val="0"/>
          <w:color w:val="auto"/>
          <w:sz w:val="24"/>
          <w:highlight w:val="none"/>
          <w:lang w:eastAsia="zh-CN"/>
        </w:rPr>
        <w:t>，</w:t>
      </w:r>
      <w:r>
        <w:rPr>
          <w:rStyle w:val="40"/>
          <w:rFonts w:hint="eastAsia" w:ascii="宋体" w:hAnsi="宋体" w:eastAsia="宋体" w:cs="宋体"/>
          <w:b w:val="0"/>
          <w:color w:val="auto"/>
          <w:sz w:val="24"/>
          <w:highlight w:val="none"/>
        </w:rPr>
        <w:t>技术部分★号条款未在★条款汇总表中的</w:t>
      </w:r>
      <w:r>
        <w:rPr>
          <w:rStyle w:val="40"/>
          <w:rFonts w:hint="eastAsia" w:ascii="宋体" w:hAnsi="宋体" w:eastAsia="宋体" w:cs="宋体"/>
          <w:b w:val="0"/>
          <w:color w:val="auto"/>
          <w:sz w:val="24"/>
          <w:highlight w:val="none"/>
          <w:lang w:eastAsia="zh-CN"/>
        </w:rPr>
        <w:t>，</w:t>
      </w:r>
      <w:r>
        <w:rPr>
          <w:rStyle w:val="40"/>
          <w:rFonts w:hint="eastAsia" w:ascii="宋体" w:hAnsi="宋体" w:eastAsia="宋体" w:cs="宋体"/>
          <w:b w:val="0"/>
          <w:color w:val="auto"/>
          <w:sz w:val="24"/>
          <w:highlight w:val="none"/>
        </w:rPr>
        <w:t>请视为无效★号条款。</w:t>
      </w:r>
    </w:p>
    <w:p w14:paraId="1D1AFE9F">
      <w:pPr>
        <w:pStyle w:val="57"/>
        <w:keepNext/>
        <w:keepLines/>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32"/>
          <w:szCs w:val="32"/>
          <w:highlight w:val="none"/>
          <w:lang w:val="zh-CN"/>
        </w:rPr>
        <w:sectPr>
          <w:headerReference r:id="rId3" w:type="default"/>
          <w:footerReference r:id="rId4" w:type="default"/>
          <w:pgSz w:w="11906" w:h="16838"/>
          <w:pgMar w:top="1440" w:right="1800" w:bottom="1440" w:left="1800" w:header="851" w:footer="992" w:gutter="0"/>
          <w:pgNumType w:fmt="decimal" w:start="1"/>
          <w:cols w:space="720" w:num="1"/>
          <w:docGrid w:type="lines" w:linePitch="312" w:charSpace="0"/>
        </w:sectPr>
      </w:pPr>
    </w:p>
    <w:p w14:paraId="076A33DE">
      <w:pPr>
        <w:ind w:right="-1413" w:rightChars="-673"/>
        <w:rPr>
          <w:rFonts w:hint="eastAsia" w:ascii="宋体" w:hAnsi="宋体" w:eastAsia="宋体" w:cs="宋体"/>
          <w:b/>
          <w:bCs/>
          <w:color w:val="auto"/>
          <w:sz w:val="30"/>
        </w:rPr>
      </w:pPr>
      <w:r>
        <w:rPr>
          <w:rFonts w:hint="eastAsia" w:ascii="宋体" w:hAnsi="宋体" w:eastAsia="宋体" w:cs="宋体"/>
          <w:b/>
          <w:bCs/>
          <w:color w:val="auto"/>
          <w:sz w:val="30"/>
        </w:rPr>
        <w:t>附件二</w:t>
      </w:r>
    </w:p>
    <w:p w14:paraId="26CDBEB0">
      <w:pPr>
        <w:ind w:right="-1413" w:rightChars="-673"/>
        <w:rPr>
          <w:rFonts w:hint="eastAsia" w:ascii="宋体" w:hAnsi="宋体" w:eastAsia="宋体" w:cs="宋体"/>
          <w:b/>
          <w:bCs/>
          <w:color w:val="auto"/>
          <w:sz w:val="30"/>
        </w:rPr>
      </w:pPr>
    </w:p>
    <w:p w14:paraId="280D7A90">
      <w:pPr>
        <w:ind w:right="-1413" w:rightChars="-673" w:firstLine="3903" w:firstLineChars="1296"/>
        <w:rPr>
          <w:rFonts w:hint="eastAsia" w:ascii="宋体" w:hAnsi="宋体" w:eastAsia="宋体" w:cs="宋体"/>
          <w:bCs/>
          <w:color w:val="auto"/>
          <w:sz w:val="44"/>
          <w:szCs w:val="20"/>
          <w:vertAlign w:val="subscript"/>
        </w:rPr>
      </w:pPr>
      <w:r>
        <w:rPr>
          <w:rFonts w:hint="eastAsia" w:ascii="宋体" w:hAnsi="宋体" w:eastAsia="宋体" w:cs="宋体"/>
          <w:b/>
          <w:bCs/>
          <w:color w:val="auto"/>
          <w:sz w:val="30"/>
        </w:rPr>
        <w:t>资格性检查表</w:t>
      </w:r>
    </w:p>
    <w:p w14:paraId="783B99C1">
      <w:pPr>
        <w:pStyle w:val="16"/>
        <w:jc w:val="left"/>
        <w:rPr>
          <w:rFonts w:hint="eastAsia" w:ascii="宋体" w:hAnsi="宋体" w:eastAsia="宋体" w:cs="宋体"/>
          <w:b/>
          <w:bCs/>
          <w:color w:val="auto"/>
          <w:sz w:val="18"/>
        </w:rPr>
      </w:pPr>
    </w:p>
    <w:tbl>
      <w:tblPr>
        <w:tblStyle w:val="3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0"/>
        <w:gridCol w:w="1406"/>
        <w:gridCol w:w="834"/>
        <w:gridCol w:w="1055"/>
        <w:gridCol w:w="1055"/>
        <w:gridCol w:w="821"/>
        <w:gridCol w:w="1017"/>
        <w:gridCol w:w="1286"/>
        <w:gridCol w:w="1094"/>
      </w:tblGrid>
      <w:tr w14:paraId="058D75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8" w:hRule="atLeast"/>
          <w:jc w:val="center"/>
        </w:trPr>
        <w:tc>
          <w:tcPr>
            <w:tcW w:w="950" w:type="dxa"/>
            <w:vMerge w:val="restart"/>
            <w:tcBorders>
              <w:top w:val="single" w:color="000000" w:sz="12" w:space="0"/>
              <w:left w:val="single" w:color="000000" w:sz="12" w:space="0"/>
              <w:bottom w:val="single" w:color="auto" w:sz="4" w:space="0"/>
              <w:right w:val="single" w:color="auto" w:sz="4" w:space="0"/>
            </w:tcBorders>
            <w:vAlign w:val="center"/>
          </w:tcPr>
          <w:p w14:paraId="2D036BE1">
            <w:pPr>
              <w:pStyle w:val="16"/>
              <w:jc w:val="center"/>
              <w:rPr>
                <w:rFonts w:hint="eastAsia" w:ascii="宋体" w:hAnsi="宋体" w:eastAsia="宋体" w:cs="宋体"/>
                <w:color w:val="auto"/>
                <w:sz w:val="24"/>
              </w:rPr>
            </w:pPr>
            <w:r>
              <w:rPr>
                <w:rFonts w:hint="eastAsia" w:ascii="宋体" w:hAnsi="宋体" w:eastAsia="宋体" w:cs="宋体"/>
                <w:color w:val="auto"/>
              </w:rPr>
              <w:t xml:space="preserve">                                                  </w:t>
            </w:r>
            <w:r>
              <w:rPr>
                <w:rFonts w:hint="eastAsia" w:ascii="宋体" w:hAnsi="宋体" w:eastAsia="宋体" w:cs="宋体"/>
                <w:color w:val="auto"/>
                <w:sz w:val="28"/>
              </w:rPr>
              <w:t xml:space="preserve">                                 </w:t>
            </w:r>
            <w:r>
              <w:rPr>
                <w:rFonts w:hint="eastAsia" w:ascii="宋体" w:hAnsi="宋体" w:eastAsia="宋体" w:cs="宋体"/>
                <w:color w:val="auto"/>
                <w:sz w:val="24"/>
              </w:rPr>
              <w:t>序号</w:t>
            </w:r>
          </w:p>
        </w:tc>
        <w:tc>
          <w:tcPr>
            <w:tcW w:w="1406" w:type="dxa"/>
            <w:vMerge w:val="restart"/>
            <w:tcBorders>
              <w:top w:val="single" w:color="000000" w:sz="12" w:space="0"/>
              <w:left w:val="single" w:color="auto" w:sz="4" w:space="0"/>
              <w:bottom w:val="single" w:color="auto" w:sz="4" w:space="0"/>
              <w:right w:val="single" w:color="auto" w:sz="4" w:space="0"/>
            </w:tcBorders>
            <w:vAlign w:val="center"/>
          </w:tcPr>
          <w:p w14:paraId="5F7512CA">
            <w:pPr>
              <w:pStyle w:val="16"/>
              <w:jc w:val="center"/>
              <w:rPr>
                <w:rFonts w:hint="eastAsia" w:ascii="宋体" w:hAnsi="宋体" w:eastAsia="宋体" w:cs="宋体"/>
                <w:color w:val="auto"/>
                <w:sz w:val="24"/>
              </w:rPr>
            </w:pPr>
          </w:p>
          <w:p w14:paraId="428F64DA">
            <w:pPr>
              <w:pStyle w:val="16"/>
              <w:jc w:val="center"/>
              <w:rPr>
                <w:rFonts w:hint="eastAsia" w:ascii="宋体" w:hAnsi="宋体" w:eastAsia="宋体" w:cs="宋体"/>
                <w:color w:val="auto"/>
                <w:sz w:val="24"/>
              </w:rPr>
            </w:pPr>
            <w:r>
              <w:rPr>
                <w:rFonts w:hint="eastAsia" w:ascii="宋体" w:hAnsi="宋体" w:eastAsia="宋体" w:cs="宋体"/>
                <w:color w:val="auto"/>
                <w:sz w:val="24"/>
              </w:rPr>
              <w:t>投标人</w:t>
            </w:r>
          </w:p>
        </w:tc>
        <w:tc>
          <w:tcPr>
            <w:tcW w:w="834" w:type="dxa"/>
            <w:vMerge w:val="restart"/>
            <w:tcBorders>
              <w:top w:val="single" w:color="000000" w:sz="12" w:space="0"/>
              <w:left w:val="single" w:color="auto" w:sz="4" w:space="0"/>
              <w:bottom w:val="single" w:color="auto" w:sz="4" w:space="0"/>
              <w:right w:val="single" w:color="auto" w:sz="4" w:space="0"/>
            </w:tcBorders>
            <w:vAlign w:val="center"/>
          </w:tcPr>
          <w:p w14:paraId="05467F3A">
            <w:pPr>
              <w:pStyle w:val="16"/>
              <w:jc w:val="center"/>
              <w:rPr>
                <w:rFonts w:hint="eastAsia" w:ascii="宋体" w:hAnsi="宋体" w:eastAsia="宋体" w:cs="宋体"/>
                <w:color w:val="auto"/>
                <w:sz w:val="24"/>
              </w:rPr>
            </w:pPr>
            <w:r>
              <w:rPr>
                <w:rFonts w:hint="eastAsia" w:ascii="宋体" w:hAnsi="宋体" w:eastAsia="宋体" w:cs="宋体"/>
                <w:color w:val="auto"/>
                <w:sz w:val="24"/>
              </w:rPr>
              <w:t>违背法规有关规定的</w:t>
            </w:r>
          </w:p>
        </w:tc>
        <w:tc>
          <w:tcPr>
            <w:tcW w:w="2931" w:type="dxa"/>
            <w:gridSpan w:val="3"/>
            <w:tcBorders>
              <w:top w:val="single" w:color="000000" w:sz="12" w:space="0"/>
              <w:left w:val="single" w:color="auto" w:sz="4" w:space="0"/>
              <w:bottom w:val="single" w:color="auto" w:sz="4" w:space="0"/>
              <w:right w:val="single" w:color="auto" w:sz="4" w:space="0"/>
            </w:tcBorders>
            <w:vAlign w:val="center"/>
          </w:tcPr>
          <w:p w14:paraId="2F81461F">
            <w:pPr>
              <w:pStyle w:val="16"/>
              <w:jc w:val="center"/>
              <w:rPr>
                <w:rFonts w:hint="eastAsia" w:ascii="宋体" w:hAnsi="宋体" w:eastAsia="宋体" w:cs="宋体"/>
                <w:color w:val="auto"/>
                <w:sz w:val="24"/>
              </w:rPr>
            </w:pPr>
            <w:r>
              <w:rPr>
                <w:rFonts w:hint="eastAsia" w:ascii="宋体" w:hAnsi="宋体" w:eastAsia="宋体" w:cs="宋体"/>
                <w:color w:val="auto"/>
                <w:sz w:val="24"/>
              </w:rPr>
              <w:t>证明文件</w:t>
            </w:r>
          </w:p>
        </w:tc>
        <w:tc>
          <w:tcPr>
            <w:tcW w:w="2303" w:type="dxa"/>
            <w:gridSpan w:val="2"/>
            <w:tcBorders>
              <w:top w:val="single" w:color="000000" w:sz="12" w:space="0"/>
              <w:left w:val="single" w:color="auto" w:sz="4" w:space="0"/>
              <w:bottom w:val="single" w:color="auto" w:sz="4" w:space="0"/>
              <w:right w:val="single" w:color="auto" w:sz="4" w:space="0"/>
            </w:tcBorders>
            <w:vAlign w:val="center"/>
          </w:tcPr>
          <w:p w14:paraId="03B1AE60">
            <w:pPr>
              <w:pStyle w:val="16"/>
              <w:jc w:val="center"/>
              <w:rPr>
                <w:rFonts w:hint="eastAsia" w:ascii="宋体" w:hAnsi="宋体" w:eastAsia="宋体" w:cs="宋体"/>
                <w:color w:val="auto"/>
                <w:sz w:val="24"/>
              </w:rPr>
            </w:pPr>
            <w:r>
              <w:rPr>
                <w:rFonts w:hint="eastAsia" w:ascii="宋体" w:hAnsi="宋体" w:eastAsia="宋体" w:cs="宋体"/>
                <w:color w:val="auto"/>
                <w:sz w:val="24"/>
              </w:rPr>
              <w:t>合   格   性</w:t>
            </w:r>
          </w:p>
        </w:tc>
        <w:tc>
          <w:tcPr>
            <w:tcW w:w="1094" w:type="dxa"/>
            <w:vMerge w:val="restart"/>
            <w:tcBorders>
              <w:top w:val="single" w:color="000000" w:sz="12" w:space="0"/>
              <w:left w:val="single" w:color="auto" w:sz="4" w:space="0"/>
              <w:bottom w:val="single" w:color="auto" w:sz="4" w:space="0"/>
              <w:right w:val="single" w:color="000000" w:sz="12" w:space="0"/>
            </w:tcBorders>
            <w:vAlign w:val="center"/>
          </w:tcPr>
          <w:p w14:paraId="3AA58902">
            <w:pPr>
              <w:pStyle w:val="16"/>
              <w:jc w:val="center"/>
              <w:rPr>
                <w:rFonts w:hint="eastAsia" w:ascii="宋体" w:hAnsi="宋体" w:eastAsia="宋体" w:cs="宋体"/>
                <w:color w:val="auto"/>
                <w:sz w:val="24"/>
              </w:rPr>
            </w:pPr>
            <w:r>
              <w:rPr>
                <w:rFonts w:hint="eastAsia" w:ascii="宋体" w:hAnsi="宋体" w:eastAsia="宋体" w:cs="宋体"/>
                <w:color w:val="auto"/>
                <w:sz w:val="24"/>
              </w:rPr>
              <w:t>投标担保情况</w:t>
            </w:r>
          </w:p>
        </w:tc>
      </w:tr>
      <w:tr w14:paraId="436735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52" w:hRule="atLeast"/>
          <w:jc w:val="center"/>
        </w:trPr>
        <w:tc>
          <w:tcPr>
            <w:tcW w:w="950" w:type="dxa"/>
            <w:vMerge w:val="continue"/>
            <w:tcBorders>
              <w:top w:val="single" w:color="000000" w:sz="12" w:space="0"/>
              <w:left w:val="single" w:color="000000" w:sz="12" w:space="0"/>
              <w:bottom w:val="single" w:color="auto" w:sz="4" w:space="0"/>
              <w:right w:val="single" w:color="auto" w:sz="4" w:space="0"/>
            </w:tcBorders>
            <w:vAlign w:val="center"/>
          </w:tcPr>
          <w:p w14:paraId="5606F3C1">
            <w:pPr>
              <w:widowControl/>
              <w:jc w:val="left"/>
              <w:rPr>
                <w:rFonts w:hint="eastAsia" w:ascii="宋体" w:hAnsi="宋体" w:eastAsia="宋体" w:cs="宋体"/>
                <w:color w:val="auto"/>
                <w:sz w:val="24"/>
              </w:rPr>
            </w:pPr>
          </w:p>
        </w:tc>
        <w:tc>
          <w:tcPr>
            <w:tcW w:w="1406" w:type="dxa"/>
            <w:vMerge w:val="continue"/>
            <w:tcBorders>
              <w:top w:val="single" w:color="000000" w:sz="12" w:space="0"/>
              <w:left w:val="single" w:color="auto" w:sz="4" w:space="0"/>
              <w:bottom w:val="single" w:color="auto" w:sz="4" w:space="0"/>
              <w:right w:val="single" w:color="auto" w:sz="4" w:space="0"/>
            </w:tcBorders>
            <w:vAlign w:val="center"/>
          </w:tcPr>
          <w:p w14:paraId="1E5E7C42">
            <w:pPr>
              <w:widowControl/>
              <w:jc w:val="left"/>
              <w:rPr>
                <w:rFonts w:hint="eastAsia" w:ascii="宋体" w:hAnsi="宋体" w:eastAsia="宋体" w:cs="宋体"/>
                <w:color w:val="auto"/>
                <w:sz w:val="24"/>
              </w:rPr>
            </w:pPr>
          </w:p>
        </w:tc>
        <w:tc>
          <w:tcPr>
            <w:tcW w:w="834" w:type="dxa"/>
            <w:vMerge w:val="continue"/>
            <w:tcBorders>
              <w:top w:val="single" w:color="000000" w:sz="12" w:space="0"/>
              <w:left w:val="single" w:color="auto" w:sz="4" w:space="0"/>
              <w:bottom w:val="single" w:color="auto" w:sz="4" w:space="0"/>
              <w:right w:val="single" w:color="auto" w:sz="4" w:space="0"/>
            </w:tcBorders>
            <w:vAlign w:val="center"/>
          </w:tcPr>
          <w:p w14:paraId="6824F0EB">
            <w:pPr>
              <w:widowControl/>
              <w:jc w:val="center"/>
              <w:rPr>
                <w:rFonts w:hint="eastAsia" w:ascii="宋体" w:hAnsi="宋体" w:eastAsia="宋体" w:cs="宋体"/>
                <w:color w:val="auto"/>
                <w:sz w:val="24"/>
              </w:rPr>
            </w:pPr>
          </w:p>
        </w:tc>
        <w:tc>
          <w:tcPr>
            <w:tcW w:w="1055" w:type="dxa"/>
            <w:tcBorders>
              <w:top w:val="single" w:color="auto" w:sz="4" w:space="0"/>
              <w:left w:val="single" w:color="auto" w:sz="4" w:space="0"/>
              <w:bottom w:val="single" w:color="auto" w:sz="4" w:space="0"/>
              <w:right w:val="single" w:color="auto" w:sz="4" w:space="0"/>
            </w:tcBorders>
            <w:vAlign w:val="center"/>
          </w:tcPr>
          <w:p w14:paraId="263D14E8">
            <w:pPr>
              <w:pStyle w:val="16"/>
              <w:jc w:val="center"/>
              <w:rPr>
                <w:rFonts w:hint="eastAsia" w:ascii="宋体" w:hAnsi="宋体" w:eastAsia="宋体" w:cs="宋体"/>
                <w:color w:val="auto"/>
                <w:sz w:val="24"/>
              </w:rPr>
            </w:pPr>
            <w:r>
              <w:rPr>
                <w:rFonts w:hint="eastAsia" w:ascii="宋体" w:hAnsi="宋体" w:eastAsia="宋体" w:cs="宋体"/>
                <w:color w:val="auto"/>
                <w:sz w:val="24"/>
              </w:rPr>
              <w:t>投标文件填写签署情况</w:t>
            </w:r>
          </w:p>
        </w:tc>
        <w:tc>
          <w:tcPr>
            <w:tcW w:w="1055" w:type="dxa"/>
            <w:tcBorders>
              <w:top w:val="single" w:color="auto" w:sz="4" w:space="0"/>
              <w:left w:val="single" w:color="auto" w:sz="4" w:space="0"/>
              <w:bottom w:val="single" w:color="auto" w:sz="4" w:space="0"/>
              <w:right w:val="single" w:color="auto" w:sz="4" w:space="0"/>
            </w:tcBorders>
            <w:vAlign w:val="center"/>
          </w:tcPr>
          <w:p w14:paraId="4066DB33">
            <w:pPr>
              <w:pStyle w:val="16"/>
              <w:jc w:val="center"/>
              <w:rPr>
                <w:rFonts w:hint="eastAsia" w:ascii="宋体" w:hAnsi="宋体" w:eastAsia="宋体" w:cs="宋体"/>
                <w:color w:val="auto"/>
                <w:sz w:val="24"/>
              </w:rPr>
            </w:pPr>
            <w:r>
              <w:rPr>
                <w:rFonts w:hint="eastAsia" w:ascii="宋体" w:hAnsi="宋体" w:eastAsia="宋体" w:cs="宋体"/>
                <w:color w:val="auto"/>
                <w:sz w:val="24"/>
              </w:rPr>
              <w:t>法人代表资格证明文件</w:t>
            </w:r>
          </w:p>
        </w:tc>
        <w:tc>
          <w:tcPr>
            <w:tcW w:w="821" w:type="dxa"/>
            <w:tcBorders>
              <w:top w:val="single" w:color="auto" w:sz="4" w:space="0"/>
              <w:left w:val="single" w:color="auto" w:sz="4" w:space="0"/>
              <w:bottom w:val="single" w:color="auto" w:sz="4" w:space="0"/>
              <w:right w:val="single" w:color="auto" w:sz="4" w:space="0"/>
            </w:tcBorders>
            <w:vAlign w:val="center"/>
          </w:tcPr>
          <w:p w14:paraId="3B2C3A7B">
            <w:pPr>
              <w:pStyle w:val="16"/>
              <w:jc w:val="center"/>
              <w:rPr>
                <w:rFonts w:hint="eastAsia" w:ascii="宋体" w:hAnsi="宋体" w:eastAsia="宋体" w:cs="宋体"/>
                <w:color w:val="auto"/>
                <w:sz w:val="24"/>
              </w:rPr>
            </w:pPr>
            <w:r>
              <w:rPr>
                <w:rFonts w:hint="eastAsia" w:ascii="宋体" w:hAnsi="宋体" w:eastAsia="宋体" w:cs="宋体"/>
                <w:color w:val="auto"/>
                <w:sz w:val="24"/>
              </w:rPr>
              <w:t>授权委托书</w:t>
            </w:r>
          </w:p>
        </w:tc>
        <w:tc>
          <w:tcPr>
            <w:tcW w:w="1017" w:type="dxa"/>
            <w:tcBorders>
              <w:top w:val="single" w:color="auto" w:sz="4" w:space="0"/>
              <w:left w:val="single" w:color="auto" w:sz="4" w:space="0"/>
              <w:bottom w:val="single" w:color="auto" w:sz="4" w:space="0"/>
              <w:right w:val="single" w:color="auto" w:sz="4" w:space="0"/>
            </w:tcBorders>
            <w:vAlign w:val="center"/>
          </w:tcPr>
          <w:p w14:paraId="6D3BCDDF">
            <w:pPr>
              <w:pStyle w:val="16"/>
              <w:jc w:val="center"/>
              <w:rPr>
                <w:rFonts w:hint="eastAsia" w:ascii="宋体" w:hAnsi="宋体" w:eastAsia="宋体" w:cs="宋体"/>
                <w:color w:val="auto"/>
                <w:sz w:val="24"/>
              </w:rPr>
            </w:pPr>
            <w:r>
              <w:rPr>
                <w:rFonts w:hint="eastAsia" w:ascii="宋体" w:hAnsi="宋体" w:eastAsia="宋体" w:cs="宋体"/>
                <w:color w:val="auto"/>
                <w:sz w:val="24"/>
              </w:rPr>
              <w:t>营业</w:t>
            </w:r>
          </w:p>
          <w:p w14:paraId="748BC3FD">
            <w:pPr>
              <w:pStyle w:val="16"/>
              <w:jc w:val="center"/>
              <w:rPr>
                <w:rFonts w:hint="eastAsia" w:ascii="宋体" w:hAnsi="宋体" w:eastAsia="宋体" w:cs="宋体"/>
                <w:color w:val="auto"/>
                <w:sz w:val="24"/>
              </w:rPr>
            </w:pPr>
            <w:r>
              <w:rPr>
                <w:rFonts w:hint="eastAsia" w:ascii="宋体" w:hAnsi="宋体" w:eastAsia="宋体" w:cs="宋体"/>
                <w:color w:val="auto"/>
                <w:sz w:val="24"/>
              </w:rPr>
              <w:t>执照</w:t>
            </w:r>
          </w:p>
        </w:tc>
        <w:tc>
          <w:tcPr>
            <w:tcW w:w="1286" w:type="dxa"/>
            <w:tcBorders>
              <w:top w:val="single" w:color="auto" w:sz="4" w:space="0"/>
              <w:left w:val="single" w:color="auto" w:sz="4" w:space="0"/>
              <w:bottom w:val="single" w:color="auto" w:sz="4" w:space="0"/>
              <w:right w:val="single" w:color="auto" w:sz="4" w:space="0"/>
            </w:tcBorders>
            <w:vAlign w:val="center"/>
          </w:tcPr>
          <w:p w14:paraId="69F02A92">
            <w:pPr>
              <w:pStyle w:val="16"/>
              <w:jc w:val="center"/>
              <w:rPr>
                <w:rFonts w:hint="eastAsia" w:ascii="宋体" w:hAnsi="宋体" w:eastAsia="宋体" w:cs="宋体"/>
                <w:color w:val="auto"/>
                <w:sz w:val="24"/>
              </w:rPr>
            </w:pPr>
            <w:r>
              <w:rPr>
                <w:rFonts w:hint="eastAsia" w:ascii="宋体" w:hAnsi="宋体" w:eastAsia="宋体" w:cs="宋体"/>
                <w:color w:val="auto"/>
                <w:sz w:val="24"/>
              </w:rPr>
              <w:t>其它资格证明文件情况</w:t>
            </w:r>
          </w:p>
        </w:tc>
        <w:tc>
          <w:tcPr>
            <w:tcW w:w="1094" w:type="dxa"/>
            <w:vMerge w:val="continue"/>
            <w:tcBorders>
              <w:top w:val="single" w:color="000000" w:sz="12" w:space="0"/>
              <w:left w:val="single" w:color="auto" w:sz="4" w:space="0"/>
              <w:bottom w:val="single" w:color="auto" w:sz="4" w:space="0"/>
              <w:right w:val="single" w:color="000000" w:sz="12" w:space="0"/>
            </w:tcBorders>
            <w:vAlign w:val="center"/>
          </w:tcPr>
          <w:p w14:paraId="2721CBCE">
            <w:pPr>
              <w:widowControl/>
              <w:jc w:val="left"/>
              <w:rPr>
                <w:rFonts w:hint="eastAsia" w:ascii="宋体" w:hAnsi="宋体" w:eastAsia="宋体" w:cs="宋体"/>
                <w:color w:val="auto"/>
                <w:sz w:val="24"/>
              </w:rPr>
            </w:pPr>
          </w:p>
        </w:tc>
      </w:tr>
      <w:tr w14:paraId="5697F6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950" w:type="dxa"/>
            <w:tcBorders>
              <w:top w:val="single" w:color="auto" w:sz="4" w:space="0"/>
              <w:left w:val="single" w:color="000000" w:sz="12" w:space="0"/>
              <w:bottom w:val="single" w:color="auto" w:sz="4" w:space="0"/>
              <w:right w:val="single" w:color="auto" w:sz="4" w:space="0"/>
            </w:tcBorders>
          </w:tcPr>
          <w:p w14:paraId="72D9C25E">
            <w:pPr>
              <w:pStyle w:val="16"/>
              <w:jc w:val="center"/>
              <w:rPr>
                <w:rFonts w:hint="eastAsia" w:ascii="宋体" w:hAnsi="宋体" w:eastAsia="宋体" w:cs="宋体"/>
                <w:color w:val="auto"/>
                <w:sz w:val="24"/>
              </w:rPr>
            </w:pPr>
          </w:p>
        </w:tc>
        <w:tc>
          <w:tcPr>
            <w:tcW w:w="1406" w:type="dxa"/>
            <w:tcBorders>
              <w:top w:val="single" w:color="auto" w:sz="4" w:space="0"/>
              <w:left w:val="single" w:color="auto" w:sz="4" w:space="0"/>
              <w:bottom w:val="single" w:color="auto" w:sz="4" w:space="0"/>
              <w:right w:val="single" w:color="auto" w:sz="4" w:space="0"/>
            </w:tcBorders>
          </w:tcPr>
          <w:p w14:paraId="7EA7E017">
            <w:pPr>
              <w:pStyle w:val="16"/>
              <w:jc w:val="center"/>
              <w:rPr>
                <w:rFonts w:hint="eastAsia" w:ascii="宋体" w:hAnsi="宋体" w:eastAsia="宋体" w:cs="宋体"/>
                <w:color w:val="auto"/>
                <w:sz w:val="24"/>
              </w:rPr>
            </w:pPr>
          </w:p>
        </w:tc>
        <w:tc>
          <w:tcPr>
            <w:tcW w:w="834" w:type="dxa"/>
            <w:tcBorders>
              <w:top w:val="single" w:color="auto" w:sz="4" w:space="0"/>
              <w:left w:val="single" w:color="auto" w:sz="4" w:space="0"/>
              <w:bottom w:val="single" w:color="auto" w:sz="4" w:space="0"/>
              <w:right w:val="single" w:color="auto" w:sz="4" w:space="0"/>
            </w:tcBorders>
          </w:tcPr>
          <w:p w14:paraId="041788E9">
            <w:pPr>
              <w:pStyle w:val="16"/>
              <w:jc w:val="center"/>
              <w:rPr>
                <w:rFonts w:hint="eastAsia" w:ascii="宋体" w:hAnsi="宋体" w:eastAsia="宋体" w:cs="宋体"/>
                <w:color w:val="auto"/>
                <w:sz w:val="24"/>
              </w:rPr>
            </w:pPr>
          </w:p>
        </w:tc>
        <w:tc>
          <w:tcPr>
            <w:tcW w:w="1055" w:type="dxa"/>
            <w:tcBorders>
              <w:top w:val="single" w:color="auto" w:sz="4" w:space="0"/>
              <w:left w:val="single" w:color="auto" w:sz="4" w:space="0"/>
              <w:bottom w:val="single" w:color="auto" w:sz="4" w:space="0"/>
              <w:right w:val="single" w:color="auto" w:sz="4" w:space="0"/>
            </w:tcBorders>
            <w:vAlign w:val="center"/>
          </w:tcPr>
          <w:p w14:paraId="1ED515C1">
            <w:pPr>
              <w:pStyle w:val="16"/>
              <w:jc w:val="center"/>
              <w:rPr>
                <w:rFonts w:hint="eastAsia" w:ascii="宋体" w:hAnsi="宋体" w:eastAsia="宋体" w:cs="宋体"/>
                <w:color w:val="auto"/>
                <w:sz w:val="24"/>
              </w:rPr>
            </w:pPr>
          </w:p>
        </w:tc>
        <w:tc>
          <w:tcPr>
            <w:tcW w:w="1055" w:type="dxa"/>
            <w:tcBorders>
              <w:top w:val="single" w:color="auto" w:sz="4" w:space="0"/>
              <w:left w:val="single" w:color="auto" w:sz="4" w:space="0"/>
              <w:bottom w:val="single" w:color="auto" w:sz="4" w:space="0"/>
              <w:right w:val="single" w:color="auto" w:sz="4" w:space="0"/>
            </w:tcBorders>
            <w:vAlign w:val="center"/>
          </w:tcPr>
          <w:p w14:paraId="0684DB8B">
            <w:pPr>
              <w:pStyle w:val="16"/>
              <w:jc w:val="center"/>
              <w:rPr>
                <w:rFonts w:hint="eastAsia" w:ascii="宋体" w:hAnsi="宋体" w:eastAsia="宋体" w:cs="宋体"/>
                <w:color w:val="auto"/>
                <w:sz w:val="24"/>
              </w:rPr>
            </w:pPr>
          </w:p>
        </w:tc>
        <w:tc>
          <w:tcPr>
            <w:tcW w:w="821" w:type="dxa"/>
            <w:tcBorders>
              <w:top w:val="single" w:color="auto" w:sz="4" w:space="0"/>
              <w:left w:val="single" w:color="auto" w:sz="4" w:space="0"/>
              <w:bottom w:val="single" w:color="auto" w:sz="4" w:space="0"/>
              <w:right w:val="single" w:color="auto" w:sz="4" w:space="0"/>
            </w:tcBorders>
            <w:vAlign w:val="center"/>
          </w:tcPr>
          <w:p w14:paraId="4E81BE3F">
            <w:pPr>
              <w:pStyle w:val="16"/>
              <w:jc w:val="center"/>
              <w:rPr>
                <w:rFonts w:hint="eastAsia" w:ascii="宋体" w:hAnsi="宋体" w:eastAsia="宋体" w:cs="宋体"/>
                <w:color w:val="auto"/>
                <w:sz w:val="24"/>
              </w:rPr>
            </w:pPr>
          </w:p>
        </w:tc>
        <w:tc>
          <w:tcPr>
            <w:tcW w:w="1017" w:type="dxa"/>
            <w:tcBorders>
              <w:top w:val="single" w:color="auto" w:sz="4" w:space="0"/>
              <w:left w:val="single" w:color="auto" w:sz="4" w:space="0"/>
              <w:bottom w:val="single" w:color="auto" w:sz="4" w:space="0"/>
              <w:right w:val="single" w:color="auto" w:sz="4" w:space="0"/>
            </w:tcBorders>
            <w:vAlign w:val="center"/>
          </w:tcPr>
          <w:p w14:paraId="02E8873F">
            <w:pPr>
              <w:pStyle w:val="16"/>
              <w:jc w:val="center"/>
              <w:rPr>
                <w:rFonts w:hint="eastAsia" w:ascii="宋体" w:hAnsi="宋体" w:eastAsia="宋体" w:cs="宋体"/>
                <w:color w:val="auto"/>
                <w:sz w:val="24"/>
              </w:rPr>
            </w:pPr>
          </w:p>
        </w:tc>
        <w:tc>
          <w:tcPr>
            <w:tcW w:w="1286" w:type="dxa"/>
            <w:tcBorders>
              <w:top w:val="single" w:color="auto" w:sz="4" w:space="0"/>
              <w:left w:val="single" w:color="auto" w:sz="4" w:space="0"/>
              <w:bottom w:val="single" w:color="auto" w:sz="4" w:space="0"/>
              <w:right w:val="single" w:color="auto" w:sz="4" w:space="0"/>
            </w:tcBorders>
            <w:vAlign w:val="center"/>
          </w:tcPr>
          <w:p w14:paraId="779D53A0">
            <w:pPr>
              <w:pStyle w:val="16"/>
              <w:jc w:val="center"/>
              <w:rPr>
                <w:rFonts w:hint="eastAsia" w:ascii="宋体" w:hAnsi="宋体" w:eastAsia="宋体" w:cs="宋体"/>
                <w:color w:val="auto"/>
                <w:sz w:val="24"/>
              </w:rPr>
            </w:pPr>
          </w:p>
        </w:tc>
        <w:tc>
          <w:tcPr>
            <w:tcW w:w="1094" w:type="dxa"/>
            <w:tcBorders>
              <w:top w:val="single" w:color="auto" w:sz="4" w:space="0"/>
              <w:left w:val="single" w:color="auto" w:sz="4" w:space="0"/>
              <w:bottom w:val="single" w:color="auto" w:sz="4" w:space="0"/>
              <w:right w:val="single" w:color="000000" w:sz="12" w:space="0"/>
            </w:tcBorders>
          </w:tcPr>
          <w:p w14:paraId="30E8B597">
            <w:pPr>
              <w:pStyle w:val="16"/>
              <w:jc w:val="center"/>
              <w:rPr>
                <w:rFonts w:hint="eastAsia" w:ascii="宋体" w:hAnsi="宋体" w:eastAsia="宋体" w:cs="宋体"/>
                <w:color w:val="auto"/>
                <w:sz w:val="24"/>
              </w:rPr>
            </w:pPr>
          </w:p>
        </w:tc>
      </w:tr>
      <w:tr w14:paraId="10D83F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950" w:type="dxa"/>
            <w:tcBorders>
              <w:top w:val="single" w:color="auto" w:sz="4" w:space="0"/>
              <w:left w:val="single" w:color="000000" w:sz="12" w:space="0"/>
              <w:bottom w:val="single" w:color="auto" w:sz="4" w:space="0"/>
              <w:right w:val="single" w:color="auto" w:sz="4" w:space="0"/>
            </w:tcBorders>
          </w:tcPr>
          <w:p w14:paraId="0DFFF23F">
            <w:pPr>
              <w:pStyle w:val="16"/>
              <w:jc w:val="center"/>
              <w:rPr>
                <w:rFonts w:hint="eastAsia" w:ascii="宋体" w:hAnsi="宋体" w:eastAsia="宋体" w:cs="宋体"/>
                <w:color w:val="auto"/>
              </w:rPr>
            </w:pPr>
          </w:p>
        </w:tc>
        <w:tc>
          <w:tcPr>
            <w:tcW w:w="1406" w:type="dxa"/>
            <w:tcBorders>
              <w:top w:val="single" w:color="auto" w:sz="4" w:space="0"/>
              <w:left w:val="single" w:color="auto" w:sz="4" w:space="0"/>
              <w:bottom w:val="single" w:color="auto" w:sz="4" w:space="0"/>
              <w:right w:val="single" w:color="auto" w:sz="4" w:space="0"/>
            </w:tcBorders>
          </w:tcPr>
          <w:p w14:paraId="25882F39">
            <w:pPr>
              <w:pStyle w:val="16"/>
              <w:jc w:val="center"/>
              <w:rPr>
                <w:rFonts w:hint="eastAsia" w:ascii="宋体" w:hAnsi="宋体" w:eastAsia="宋体" w:cs="宋体"/>
                <w:color w:val="auto"/>
              </w:rPr>
            </w:pPr>
          </w:p>
        </w:tc>
        <w:tc>
          <w:tcPr>
            <w:tcW w:w="834" w:type="dxa"/>
            <w:tcBorders>
              <w:top w:val="single" w:color="auto" w:sz="4" w:space="0"/>
              <w:left w:val="single" w:color="auto" w:sz="4" w:space="0"/>
              <w:bottom w:val="single" w:color="auto" w:sz="4" w:space="0"/>
              <w:right w:val="single" w:color="auto" w:sz="4" w:space="0"/>
            </w:tcBorders>
          </w:tcPr>
          <w:p w14:paraId="435BAD76">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auto" w:sz="4" w:space="0"/>
              <w:right w:val="single" w:color="auto" w:sz="4" w:space="0"/>
            </w:tcBorders>
          </w:tcPr>
          <w:p w14:paraId="3073AD60">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auto" w:sz="4" w:space="0"/>
              <w:right w:val="single" w:color="auto" w:sz="4" w:space="0"/>
            </w:tcBorders>
          </w:tcPr>
          <w:p w14:paraId="515A791A">
            <w:pPr>
              <w:pStyle w:val="16"/>
              <w:jc w:val="center"/>
              <w:rPr>
                <w:rFonts w:hint="eastAsia" w:ascii="宋体" w:hAnsi="宋体" w:eastAsia="宋体" w:cs="宋体"/>
                <w:color w:val="auto"/>
              </w:rPr>
            </w:pPr>
          </w:p>
        </w:tc>
        <w:tc>
          <w:tcPr>
            <w:tcW w:w="821" w:type="dxa"/>
            <w:tcBorders>
              <w:top w:val="single" w:color="auto" w:sz="4" w:space="0"/>
              <w:left w:val="single" w:color="auto" w:sz="4" w:space="0"/>
              <w:bottom w:val="single" w:color="auto" w:sz="4" w:space="0"/>
              <w:right w:val="single" w:color="auto" w:sz="4" w:space="0"/>
            </w:tcBorders>
          </w:tcPr>
          <w:p w14:paraId="5038DFE6">
            <w:pPr>
              <w:pStyle w:val="16"/>
              <w:jc w:val="center"/>
              <w:rPr>
                <w:rFonts w:hint="eastAsia" w:ascii="宋体" w:hAnsi="宋体" w:eastAsia="宋体" w:cs="宋体"/>
                <w:color w:val="auto"/>
              </w:rPr>
            </w:pPr>
          </w:p>
        </w:tc>
        <w:tc>
          <w:tcPr>
            <w:tcW w:w="1017" w:type="dxa"/>
            <w:tcBorders>
              <w:top w:val="single" w:color="auto" w:sz="4" w:space="0"/>
              <w:left w:val="single" w:color="auto" w:sz="4" w:space="0"/>
              <w:bottom w:val="single" w:color="auto" w:sz="4" w:space="0"/>
              <w:right w:val="single" w:color="auto" w:sz="4" w:space="0"/>
            </w:tcBorders>
          </w:tcPr>
          <w:p w14:paraId="5DFBE46B">
            <w:pPr>
              <w:pStyle w:val="16"/>
              <w:jc w:val="center"/>
              <w:rPr>
                <w:rFonts w:hint="eastAsia" w:ascii="宋体" w:hAnsi="宋体" w:eastAsia="宋体" w:cs="宋体"/>
                <w:color w:val="auto"/>
              </w:rPr>
            </w:pPr>
          </w:p>
        </w:tc>
        <w:tc>
          <w:tcPr>
            <w:tcW w:w="1286" w:type="dxa"/>
            <w:tcBorders>
              <w:top w:val="single" w:color="auto" w:sz="4" w:space="0"/>
              <w:left w:val="single" w:color="auto" w:sz="4" w:space="0"/>
              <w:bottom w:val="single" w:color="auto" w:sz="4" w:space="0"/>
              <w:right w:val="single" w:color="auto" w:sz="4" w:space="0"/>
            </w:tcBorders>
          </w:tcPr>
          <w:p w14:paraId="36AF7868">
            <w:pPr>
              <w:pStyle w:val="16"/>
              <w:jc w:val="center"/>
              <w:rPr>
                <w:rFonts w:hint="eastAsia" w:ascii="宋体" w:hAnsi="宋体" w:eastAsia="宋体" w:cs="宋体"/>
                <w:color w:val="auto"/>
              </w:rPr>
            </w:pPr>
          </w:p>
        </w:tc>
        <w:tc>
          <w:tcPr>
            <w:tcW w:w="1094" w:type="dxa"/>
            <w:tcBorders>
              <w:top w:val="single" w:color="auto" w:sz="4" w:space="0"/>
              <w:left w:val="single" w:color="auto" w:sz="4" w:space="0"/>
              <w:bottom w:val="single" w:color="auto" w:sz="4" w:space="0"/>
              <w:right w:val="single" w:color="000000" w:sz="12" w:space="0"/>
            </w:tcBorders>
          </w:tcPr>
          <w:p w14:paraId="109C53E7">
            <w:pPr>
              <w:pStyle w:val="16"/>
              <w:jc w:val="center"/>
              <w:rPr>
                <w:rFonts w:hint="eastAsia" w:ascii="宋体" w:hAnsi="宋体" w:eastAsia="宋体" w:cs="宋体"/>
                <w:color w:val="auto"/>
              </w:rPr>
            </w:pPr>
          </w:p>
        </w:tc>
      </w:tr>
      <w:tr w14:paraId="17BEC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950" w:type="dxa"/>
            <w:tcBorders>
              <w:top w:val="single" w:color="auto" w:sz="4" w:space="0"/>
              <w:left w:val="single" w:color="000000" w:sz="12" w:space="0"/>
              <w:bottom w:val="single" w:color="auto" w:sz="4" w:space="0"/>
              <w:right w:val="single" w:color="auto" w:sz="4" w:space="0"/>
            </w:tcBorders>
          </w:tcPr>
          <w:p w14:paraId="53CA07E6">
            <w:pPr>
              <w:pStyle w:val="16"/>
              <w:jc w:val="center"/>
              <w:rPr>
                <w:rFonts w:hint="eastAsia" w:ascii="宋体" w:hAnsi="宋体" w:eastAsia="宋体" w:cs="宋体"/>
                <w:color w:val="auto"/>
              </w:rPr>
            </w:pPr>
          </w:p>
        </w:tc>
        <w:tc>
          <w:tcPr>
            <w:tcW w:w="1406" w:type="dxa"/>
            <w:tcBorders>
              <w:top w:val="single" w:color="auto" w:sz="4" w:space="0"/>
              <w:left w:val="single" w:color="auto" w:sz="4" w:space="0"/>
              <w:bottom w:val="single" w:color="auto" w:sz="4" w:space="0"/>
              <w:right w:val="single" w:color="auto" w:sz="4" w:space="0"/>
            </w:tcBorders>
          </w:tcPr>
          <w:p w14:paraId="42D7F81B">
            <w:pPr>
              <w:pStyle w:val="16"/>
              <w:jc w:val="center"/>
              <w:rPr>
                <w:rFonts w:hint="eastAsia" w:ascii="宋体" w:hAnsi="宋体" w:eastAsia="宋体" w:cs="宋体"/>
                <w:color w:val="auto"/>
              </w:rPr>
            </w:pPr>
          </w:p>
        </w:tc>
        <w:tc>
          <w:tcPr>
            <w:tcW w:w="834" w:type="dxa"/>
            <w:tcBorders>
              <w:top w:val="single" w:color="auto" w:sz="4" w:space="0"/>
              <w:left w:val="single" w:color="auto" w:sz="4" w:space="0"/>
              <w:bottom w:val="single" w:color="auto" w:sz="4" w:space="0"/>
              <w:right w:val="single" w:color="auto" w:sz="4" w:space="0"/>
            </w:tcBorders>
          </w:tcPr>
          <w:p w14:paraId="5EF4EF07">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auto" w:sz="4" w:space="0"/>
              <w:right w:val="single" w:color="auto" w:sz="4" w:space="0"/>
            </w:tcBorders>
          </w:tcPr>
          <w:p w14:paraId="3D81596B">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auto" w:sz="4" w:space="0"/>
              <w:right w:val="single" w:color="auto" w:sz="4" w:space="0"/>
            </w:tcBorders>
          </w:tcPr>
          <w:p w14:paraId="3574C7F1">
            <w:pPr>
              <w:pStyle w:val="16"/>
              <w:jc w:val="center"/>
              <w:rPr>
                <w:rFonts w:hint="eastAsia" w:ascii="宋体" w:hAnsi="宋体" w:eastAsia="宋体" w:cs="宋体"/>
                <w:color w:val="auto"/>
              </w:rPr>
            </w:pPr>
          </w:p>
        </w:tc>
        <w:tc>
          <w:tcPr>
            <w:tcW w:w="821" w:type="dxa"/>
            <w:tcBorders>
              <w:top w:val="single" w:color="auto" w:sz="4" w:space="0"/>
              <w:left w:val="single" w:color="auto" w:sz="4" w:space="0"/>
              <w:bottom w:val="single" w:color="auto" w:sz="4" w:space="0"/>
              <w:right w:val="single" w:color="auto" w:sz="4" w:space="0"/>
            </w:tcBorders>
          </w:tcPr>
          <w:p w14:paraId="501EF7C6">
            <w:pPr>
              <w:pStyle w:val="16"/>
              <w:jc w:val="center"/>
              <w:rPr>
                <w:rFonts w:hint="eastAsia" w:ascii="宋体" w:hAnsi="宋体" w:eastAsia="宋体" w:cs="宋体"/>
                <w:color w:val="auto"/>
              </w:rPr>
            </w:pPr>
          </w:p>
        </w:tc>
        <w:tc>
          <w:tcPr>
            <w:tcW w:w="1017" w:type="dxa"/>
            <w:tcBorders>
              <w:top w:val="single" w:color="auto" w:sz="4" w:space="0"/>
              <w:left w:val="single" w:color="auto" w:sz="4" w:space="0"/>
              <w:bottom w:val="single" w:color="auto" w:sz="4" w:space="0"/>
              <w:right w:val="single" w:color="auto" w:sz="4" w:space="0"/>
            </w:tcBorders>
          </w:tcPr>
          <w:p w14:paraId="0701D14E">
            <w:pPr>
              <w:pStyle w:val="16"/>
              <w:jc w:val="center"/>
              <w:rPr>
                <w:rFonts w:hint="eastAsia" w:ascii="宋体" w:hAnsi="宋体" w:eastAsia="宋体" w:cs="宋体"/>
                <w:color w:val="auto"/>
              </w:rPr>
            </w:pPr>
          </w:p>
        </w:tc>
        <w:tc>
          <w:tcPr>
            <w:tcW w:w="1286" w:type="dxa"/>
            <w:tcBorders>
              <w:top w:val="single" w:color="auto" w:sz="4" w:space="0"/>
              <w:left w:val="single" w:color="auto" w:sz="4" w:space="0"/>
              <w:bottom w:val="single" w:color="auto" w:sz="4" w:space="0"/>
              <w:right w:val="single" w:color="auto" w:sz="4" w:space="0"/>
            </w:tcBorders>
          </w:tcPr>
          <w:p w14:paraId="7201B07E">
            <w:pPr>
              <w:pStyle w:val="16"/>
              <w:jc w:val="center"/>
              <w:rPr>
                <w:rFonts w:hint="eastAsia" w:ascii="宋体" w:hAnsi="宋体" w:eastAsia="宋体" w:cs="宋体"/>
                <w:color w:val="auto"/>
              </w:rPr>
            </w:pPr>
          </w:p>
        </w:tc>
        <w:tc>
          <w:tcPr>
            <w:tcW w:w="1094" w:type="dxa"/>
            <w:tcBorders>
              <w:top w:val="single" w:color="auto" w:sz="4" w:space="0"/>
              <w:left w:val="single" w:color="auto" w:sz="4" w:space="0"/>
              <w:bottom w:val="single" w:color="auto" w:sz="4" w:space="0"/>
              <w:right w:val="single" w:color="000000" w:sz="12" w:space="0"/>
            </w:tcBorders>
          </w:tcPr>
          <w:p w14:paraId="7A6E5BD7">
            <w:pPr>
              <w:pStyle w:val="16"/>
              <w:jc w:val="center"/>
              <w:rPr>
                <w:rFonts w:hint="eastAsia" w:ascii="宋体" w:hAnsi="宋体" w:eastAsia="宋体" w:cs="宋体"/>
                <w:color w:val="auto"/>
              </w:rPr>
            </w:pPr>
          </w:p>
        </w:tc>
      </w:tr>
      <w:tr w14:paraId="13D843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950" w:type="dxa"/>
            <w:tcBorders>
              <w:top w:val="single" w:color="auto" w:sz="4" w:space="0"/>
              <w:left w:val="single" w:color="000000" w:sz="12" w:space="0"/>
              <w:bottom w:val="single" w:color="auto" w:sz="4" w:space="0"/>
              <w:right w:val="single" w:color="auto" w:sz="4" w:space="0"/>
            </w:tcBorders>
          </w:tcPr>
          <w:p w14:paraId="6655151F">
            <w:pPr>
              <w:pStyle w:val="16"/>
              <w:jc w:val="center"/>
              <w:rPr>
                <w:rFonts w:hint="eastAsia" w:ascii="宋体" w:hAnsi="宋体" w:eastAsia="宋体" w:cs="宋体"/>
                <w:color w:val="auto"/>
              </w:rPr>
            </w:pPr>
          </w:p>
        </w:tc>
        <w:tc>
          <w:tcPr>
            <w:tcW w:w="1406" w:type="dxa"/>
            <w:tcBorders>
              <w:top w:val="single" w:color="auto" w:sz="4" w:space="0"/>
              <w:left w:val="single" w:color="auto" w:sz="4" w:space="0"/>
              <w:bottom w:val="single" w:color="auto" w:sz="4" w:space="0"/>
              <w:right w:val="single" w:color="auto" w:sz="4" w:space="0"/>
            </w:tcBorders>
          </w:tcPr>
          <w:p w14:paraId="2D6CB33C">
            <w:pPr>
              <w:pStyle w:val="16"/>
              <w:jc w:val="center"/>
              <w:rPr>
                <w:rFonts w:hint="eastAsia" w:ascii="宋体" w:hAnsi="宋体" w:eastAsia="宋体" w:cs="宋体"/>
                <w:color w:val="auto"/>
              </w:rPr>
            </w:pPr>
          </w:p>
        </w:tc>
        <w:tc>
          <w:tcPr>
            <w:tcW w:w="834" w:type="dxa"/>
            <w:tcBorders>
              <w:top w:val="single" w:color="auto" w:sz="4" w:space="0"/>
              <w:left w:val="single" w:color="auto" w:sz="4" w:space="0"/>
              <w:bottom w:val="single" w:color="auto" w:sz="4" w:space="0"/>
              <w:right w:val="single" w:color="auto" w:sz="4" w:space="0"/>
            </w:tcBorders>
          </w:tcPr>
          <w:p w14:paraId="3FF01386">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auto" w:sz="4" w:space="0"/>
              <w:right w:val="single" w:color="auto" w:sz="4" w:space="0"/>
            </w:tcBorders>
          </w:tcPr>
          <w:p w14:paraId="2A8DCB7C">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auto" w:sz="4" w:space="0"/>
              <w:right w:val="single" w:color="auto" w:sz="4" w:space="0"/>
            </w:tcBorders>
          </w:tcPr>
          <w:p w14:paraId="52BBD079">
            <w:pPr>
              <w:pStyle w:val="16"/>
              <w:jc w:val="center"/>
              <w:rPr>
                <w:rFonts w:hint="eastAsia" w:ascii="宋体" w:hAnsi="宋体" w:eastAsia="宋体" w:cs="宋体"/>
                <w:color w:val="auto"/>
              </w:rPr>
            </w:pPr>
          </w:p>
        </w:tc>
        <w:tc>
          <w:tcPr>
            <w:tcW w:w="821" w:type="dxa"/>
            <w:tcBorders>
              <w:top w:val="single" w:color="auto" w:sz="4" w:space="0"/>
              <w:left w:val="single" w:color="auto" w:sz="4" w:space="0"/>
              <w:bottom w:val="single" w:color="auto" w:sz="4" w:space="0"/>
              <w:right w:val="single" w:color="auto" w:sz="4" w:space="0"/>
            </w:tcBorders>
          </w:tcPr>
          <w:p w14:paraId="74249AC4">
            <w:pPr>
              <w:pStyle w:val="16"/>
              <w:jc w:val="center"/>
              <w:rPr>
                <w:rFonts w:hint="eastAsia" w:ascii="宋体" w:hAnsi="宋体" w:eastAsia="宋体" w:cs="宋体"/>
                <w:color w:val="auto"/>
              </w:rPr>
            </w:pPr>
          </w:p>
        </w:tc>
        <w:tc>
          <w:tcPr>
            <w:tcW w:w="1017" w:type="dxa"/>
            <w:tcBorders>
              <w:top w:val="single" w:color="auto" w:sz="4" w:space="0"/>
              <w:left w:val="single" w:color="auto" w:sz="4" w:space="0"/>
              <w:bottom w:val="single" w:color="auto" w:sz="4" w:space="0"/>
              <w:right w:val="single" w:color="auto" w:sz="4" w:space="0"/>
            </w:tcBorders>
          </w:tcPr>
          <w:p w14:paraId="4116696E">
            <w:pPr>
              <w:pStyle w:val="16"/>
              <w:jc w:val="center"/>
              <w:rPr>
                <w:rFonts w:hint="eastAsia" w:ascii="宋体" w:hAnsi="宋体" w:eastAsia="宋体" w:cs="宋体"/>
                <w:color w:val="auto"/>
              </w:rPr>
            </w:pPr>
          </w:p>
        </w:tc>
        <w:tc>
          <w:tcPr>
            <w:tcW w:w="1286" w:type="dxa"/>
            <w:tcBorders>
              <w:top w:val="single" w:color="auto" w:sz="4" w:space="0"/>
              <w:left w:val="single" w:color="auto" w:sz="4" w:space="0"/>
              <w:bottom w:val="single" w:color="auto" w:sz="4" w:space="0"/>
              <w:right w:val="single" w:color="000000" w:sz="4" w:space="0"/>
            </w:tcBorders>
          </w:tcPr>
          <w:p w14:paraId="4D944841">
            <w:pPr>
              <w:pStyle w:val="16"/>
              <w:jc w:val="center"/>
              <w:rPr>
                <w:rFonts w:hint="eastAsia" w:ascii="宋体" w:hAnsi="宋体" w:eastAsia="宋体" w:cs="宋体"/>
                <w:color w:val="auto"/>
              </w:rPr>
            </w:pPr>
          </w:p>
        </w:tc>
        <w:tc>
          <w:tcPr>
            <w:tcW w:w="1094" w:type="dxa"/>
            <w:tcBorders>
              <w:top w:val="single" w:color="auto" w:sz="4" w:space="0"/>
              <w:left w:val="single" w:color="000000" w:sz="4" w:space="0"/>
              <w:bottom w:val="single" w:color="auto" w:sz="4" w:space="0"/>
              <w:right w:val="single" w:color="000000" w:sz="12" w:space="0"/>
            </w:tcBorders>
          </w:tcPr>
          <w:p w14:paraId="0F53007C">
            <w:pPr>
              <w:pStyle w:val="16"/>
              <w:jc w:val="center"/>
              <w:rPr>
                <w:rFonts w:hint="eastAsia" w:ascii="宋体" w:hAnsi="宋体" w:eastAsia="宋体" w:cs="宋体"/>
                <w:color w:val="auto"/>
              </w:rPr>
            </w:pPr>
          </w:p>
        </w:tc>
      </w:tr>
      <w:tr w14:paraId="6697F8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950" w:type="dxa"/>
            <w:tcBorders>
              <w:top w:val="single" w:color="auto" w:sz="4" w:space="0"/>
              <w:left w:val="single" w:color="000000" w:sz="12" w:space="0"/>
              <w:bottom w:val="single" w:color="000000" w:sz="12" w:space="0"/>
              <w:right w:val="single" w:color="auto" w:sz="4" w:space="0"/>
            </w:tcBorders>
          </w:tcPr>
          <w:p w14:paraId="5E05A8BF">
            <w:pPr>
              <w:pStyle w:val="16"/>
              <w:jc w:val="center"/>
              <w:rPr>
                <w:rFonts w:hint="eastAsia" w:ascii="宋体" w:hAnsi="宋体" w:eastAsia="宋体" w:cs="宋体"/>
                <w:color w:val="auto"/>
              </w:rPr>
            </w:pPr>
          </w:p>
        </w:tc>
        <w:tc>
          <w:tcPr>
            <w:tcW w:w="1406" w:type="dxa"/>
            <w:tcBorders>
              <w:top w:val="single" w:color="auto" w:sz="4" w:space="0"/>
              <w:left w:val="single" w:color="auto" w:sz="4" w:space="0"/>
              <w:bottom w:val="single" w:color="000000" w:sz="12" w:space="0"/>
              <w:right w:val="single" w:color="auto" w:sz="4" w:space="0"/>
            </w:tcBorders>
          </w:tcPr>
          <w:p w14:paraId="11FB3CED">
            <w:pPr>
              <w:pStyle w:val="16"/>
              <w:jc w:val="center"/>
              <w:rPr>
                <w:rFonts w:hint="eastAsia" w:ascii="宋体" w:hAnsi="宋体" w:eastAsia="宋体" w:cs="宋体"/>
                <w:color w:val="auto"/>
              </w:rPr>
            </w:pPr>
          </w:p>
        </w:tc>
        <w:tc>
          <w:tcPr>
            <w:tcW w:w="834" w:type="dxa"/>
            <w:tcBorders>
              <w:top w:val="single" w:color="auto" w:sz="4" w:space="0"/>
              <w:left w:val="single" w:color="auto" w:sz="4" w:space="0"/>
              <w:bottom w:val="single" w:color="000000" w:sz="12" w:space="0"/>
              <w:right w:val="single" w:color="auto" w:sz="4" w:space="0"/>
            </w:tcBorders>
          </w:tcPr>
          <w:p w14:paraId="2F0AEC27">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000000" w:sz="12" w:space="0"/>
              <w:right w:val="single" w:color="auto" w:sz="4" w:space="0"/>
            </w:tcBorders>
          </w:tcPr>
          <w:p w14:paraId="59A0D8B5">
            <w:pPr>
              <w:pStyle w:val="16"/>
              <w:jc w:val="center"/>
              <w:rPr>
                <w:rFonts w:hint="eastAsia" w:ascii="宋体" w:hAnsi="宋体" w:eastAsia="宋体" w:cs="宋体"/>
                <w:color w:val="auto"/>
              </w:rPr>
            </w:pPr>
          </w:p>
        </w:tc>
        <w:tc>
          <w:tcPr>
            <w:tcW w:w="1055" w:type="dxa"/>
            <w:tcBorders>
              <w:top w:val="single" w:color="auto" w:sz="4" w:space="0"/>
              <w:left w:val="single" w:color="auto" w:sz="4" w:space="0"/>
              <w:bottom w:val="single" w:color="000000" w:sz="12" w:space="0"/>
              <w:right w:val="single" w:color="auto" w:sz="4" w:space="0"/>
            </w:tcBorders>
          </w:tcPr>
          <w:p w14:paraId="55D01B7D">
            <w:pPr>
              <w:pStyle w:val="16"/>
              <w:jc w:val="center"/>
              <w:rPr>
                <w:rFonts w:hint="eastAsia" w:ascii="宋体" w:hAnsi="宋体" w:eastAsia="宋体" w:cs="宋体"/>
                <w:color w:val="auto"/>
              </w:rPr>
            </w:pPr>
          </w:p>
        </w:tc>
        <w:tc>
          <w:tcPr>
            <w:tcW w:w="821" w:type="dxa"/>
            <w:tcBorders>
              <w:top w:val="single" w:color="auto" w:sz="4" w:space="0"/>
              <w:left w:val="single" w:color="auto" w:sz="4" w:space="0"/>
              <w:bottom w:val="single" w:color="000000" w:sz="12" w:space="0"/>
              <w:right w:val="single" w:color="auto" w:sz="4" w:space="0"/>
            </w:tcBorders>
          </w:tcPr>
          <w:p w14:paraId="6C62D36E">
            <w:pPr>
              <w:pStyle w:val="16"/>
              <w:jc w:val="center"/>
              <w:rPr>
                <w:rFonts w:hint="eastAsia" w:ascii="宋体" w:hAnsi="宋体" w:eastAsia="宋体" w:cs="宋体"/>
                <w:color w:val="auto"/>
              </w:rPr>
            </w:pPr>
          </w:p>
        </w:tc>
        <w:tc>
          <w:tcPr>
            <w:tcW w:w="1017" w:type="dxa"/>
            <w:tcBorders>
              <w:top w:val="single" w:color="auto" w:sz="4" w:space="0"/>
              <w:left w:val="single" w:color="auto" w:sz="4" w:space="0"/>
              <w:bottom w:val="single" w:color="000000" w:sz="12" w:space="0"/>
              <w:right w:val="single" w:color="auto" w:sz="4" w:space="0"/>
            </w:tcBorders>
          </w:tcPr>
          <w:p w14:paraId="2C3850DC">
            <w:pPr>
              <w:pStyle w:val="16"/>
              <w:jc w:val="center"/>
              <w:rPr>
                <w:rFonts w:hint="eastAsia" w:ascii="宋体" w:hAnsi="宋体" w:eastAsia="宋体" w:cs="宋体"/>
                <w:color w:val="auto"/>
              </w:rPr>
            </w:pPr>
          </w:p>
        </w:tc>
        <w:tc>
          <w:tcPr>
            <w:tcW w:w="1286" w:type="dxa"/>
            <w:tcBorders>
              <w:top w:val="single" w:color="auto" w:sz="4" w:space="0"/>
              <w:left w:val="single" w:color="auto" w:sz="4" w:space="0"/>
              <w:bottom w:val="single" w:color="000000" w:sz="12" w:space="0"/>
              <w:right w:val="single" w:color="000000" w:sz="4" w:space="0"/>
            </w:tcBorders>
          </w:tcPr>
          <w:p w14:paraId="31E2182E">
            <w:pPr>
              <w:pStyle w:val="16"/>
              <w:jc w:val="center"/>
              <w:rPr>
                <w:rFonts w:hint="eastAsia" w:ascii="宋体" w:hAnsi="宋体" w:eastAsia="宋体" w:cs="宋体"/>
                <w:color w:val="auto"/>
              </w:rPr>
            </w:pPr>
          </w:p>
        </w:tc>
        <w:tc>
          <w:tcPr>
            <w:tcW w:w="1094" w:type="dxa"/>
            <w:tcBorders>
              <w:top w:val="single" w:color="auto" w:sz="4" w:space="0"/>
              <w:left w:val="single" w:color="000000" w:sz="4" w:space="0"/>
              <w:bottom w:val="single" w:color="000000" w:sz="12" w:space="0"/>
              <w:right w:val="single" w:color="000000" w:sz="12" w:space="0"/>
            </w:tcBorders>
          </w:tcPr>
          <w:p w14:paraId="2DECA274">
            <w:pPr>
              <w:pStyle w:val="16"/>
              <w:jc w:val="center"/>
              <w:rPr>
                <w:rFonts w:hint="eastAsia" w:ascii="宋体" w:hAnsi="宋体" w:eastAsia="宋体" w:cs="宋体"/>
                <w:color w:val="auto"/>
              </w:rPr>
            </w:pPr>
          </w:p>
        </w:tc>
      </w:tr>
    </w:tbl>
    <w:p w14:paraId="4CF50121">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注：有下述情况之一的，评标委员会认定其为不合格投标人：</w:t>
      </w:r>
    </w:p>
    <w:p w14:paraId="4C2D82C6">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（1） 在评标过程中，评标委员会发现投标人为他人非法代理投标的；串通投标的；以行贿手段谋取中标或者以其他弄虚作假方式投标的；</w:t>
      </w:r>
    </w:p>
    <w:p w14:paraId="24E9999A">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（2） 投标人拒不按照要求对投标文件进行澄清、说明或者补正的；</w:t>
      </w:r>
    </w:p>
    <w:p w14:paraId="1533954B">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（3） 投标文件没有按招标文件要求签字或盖章的；</w:t>
      </w:r>
    </w:p>
    <w:p w14:paraId="7D6D82D9">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（4） 没有按照招标文件要求提供投标担保或者所提供的投标担保有瑕疵的；投标人不能提供合法的、真实的材料证明其为合格投标人的；</w:t>
      </w:r>
    </w:p>
    <w:p w14:paraId="40A0E0AA">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（5） 投标人资格条件不符合招标文件要求的；其它不能满足法律法规资格性规定的。</w:t>
      </w:r>
    </w:p>
    <w:p w14:paraId="5EA3658E">
      <w:pPr>
        <w:pStyle w:val="19"/>
        <w:spacing w:line="440" w:lineRule="exact"/>
        <w:ind w:right="-109" w:rightChars="-52"/>
        <w:rPr>
          <w:rFonts w:hint="eastAsia" w:ascii="宋体" w:hAnsi="宋体" w:eastAsia="宋体" w:cs="宋体"/>
          <w:color w:val="auto"/>
        </w:rPr>
      </w:pPr>
    </w:p>
    <w:p w14:paraId="1924BC7D">
      <w:pPr>
        <w:pStyle w:val="19"/>
        <w:spacing w:line="440" w:lineRule="exact"/>
        <w:ind w:right="-109" w:rightChars="-52"/>
        <w:rPr>
          <w:rFonts w:hint="eastAsia" w:ascii="宋体" w:hAnsi="宋体" w:eastAsia="宋体" w:cs="宋体"/>
          <w:color w:val="auto"/>
        </w:rPr>
      </w:pPr>
    </w:p>
    <w:p w14:paraId="258FFDBF">
      <w:pPr>
        <w:pStyle w:val="19"/>
        <w:spacing w:line="440" w:lineRule="exact"/>
        <w:ind w:right="-109" w:rightChars="-52" w:firstLine="0" w:firstLineChars="0"/>
        <w:rPr>
          <w:rFonts w:hint="eastAsia" w:ascii="宋体" w:hAnsi="宋体" w:eastAsia="宋体" w:cs="宋体"/>
          <w:color w:val="auto"/>
        </w:rPr>
      </w:pPr>
    </w:p>
    <w:p w14:paraId="4015BE3D">
      <w:pPr>
        <w:pStyle w:val="19"/>
        <w:spacing w:line="440" w:lineRule="exact"/>
        <w:ind w:right="-109" w:rightChars="-52" w:firstLine="0" w:firstLineChars="0"/>
        <w:rPr>
          <w:rFonts w:hint="eastAsia" w:ascii="宋体" w:hAnsi="宋体" w:eastAsia="宋体" w:cs="宋体"/>
          <w:color w:val="auto"/>
        </w:rPr>
      </w:pPr>
    </w:p>
    <w:p w14:paraId="22DDCCD5">
      <w:pPr>
        <w:pStyle w:val="19"/>
        <w:spacing w:line="440" w:lineRule="exact"/>
        <w:ind w:right="-109" w:rightChars="-52" w:firstLine="0" w:firstLineChars="0"/>
        <w:rPr>
          <w:rFonts w:hint="eastAsia" w:ascii="宋体" w:hAnsi="宋体" w:eastAsia="宋体" w:cs="宋体"/>
          <w:color w:val="auto"/>
        </w:rPr>
      </w:pPr>
    </w:p>
    <w:p w14:paraId="03C60E13">
      <w:pPr>
        <w:pStyle w:val="19"/>
        <w:spacing w:line="440" w:lineRule="exact"/>
        <w:ind w:right="-109" w:rightChars="-52" w:firstLine="0" w:firstLineChars="0"/>
        <w:rPr>
          <w:rFonts w:hint="eastAsia" w:ascii="宋体" w:hAnsi="宋体" w:eastAsia="宋体" w:cs="宋体"/>
          <w:color w:val="auto"/>
        </w:rPr>
      </w:pPr>
    </w:p>
    <w:p w14:paraId="08490668">
      <w:pPr>
        <w:pStyle w:val="19"/>
        <w:spacing w:line="440" w:lineRule="exact"/>
        <w:ind w:right="-109" w:rightChars="-52" w:firstLine="0" w:firstLineChars="0"/>
        <w:rPr>
          <w:rFonts w:hint="eastAsia" w:ascii="宋体" w:hAnsi="宋体" w:eastAsia="宋体" w:cs="宋体"/>
          <w:color w:val="auto"/>
        </w:rPr>
      </w:pPr>
    </w:p>
    <w:p w14:paraId="70B7B347">
      <w:pPr>
        <w:pStyle w:val="19"/>
        <w:spacing w:line="440" w:lineRule="exact"/>
        <w:ind w:right="-109" w:rightChars="-52" w:firstLine="0" w:firstLineChars="0"/>
        <w:rPr>
          <w:rFonts w:hint="eastAsia" w:ascii="宋体" w:hAnsi="宋体" w:eastAsia="宋体" w:cs="宋体"/>
          <w:color w:val="auto"/>
        </w:rPr>
      </w:pPr>
    </w:p>
    <w:p w14:paraId="1134CABB">
      <w:pPr>
        <w:pStyle w:val="19"/>
        <w:spacing w:line="440" w:lineRule="exact"/>
        <w:ind w:right="-109" w:rightChars="-52" w:firstLine="0" w:firstLineChars="0"/>
        <w:rPr>
          <w:rFonts w:hint="eastAsia" w:ascii="宋体" w:hAnsi="宋体" w:eastAsia="宋体" w:cs="宋体"/>
          <w:color w:val="auto"/>
        </w:rPr>
      </w:pPr>
    </w:p>
    <w:p w14:paraId="052A9ACA">
      <w:pPr>
        <w:pStyle w:val="19"/>
        <w:spacing w:line="440" w:lineRule="exact"/>
        <w:ind w:right="-109" w:rightChars="-52" w:firstLine="0" w:firstLineChars="0"/>
        <w:rPr>
          <w:rFonts w:hint="eastAsia" w:ascii="宋体" w:hAnsi="宋体" w:eastAsia="宋体" w:cs="宋体"/>
          <w:color w:val="auto"/>
        </w:rPr>
      </w:pPr>
    </w:p>
    <w:p w14:paraId="1A3E94EF">
      <w:pPr>
        <w:ind w:right="-1413" w:rightChars="-673"/>
        <w:rPr>
          <w:rFonts w:hint="eastAsia" w:ascii="宋体" w:hAnsi="宋体" w:eastAsia="宋体" w:cs="宋体"/>
          <w:b/>
          <w:bCs/>
          <w:color w:val="auto"/>
          <w:sz w:val="30"/>
        </w:rPr>
      </w:pPr>
      <w:r>
        <w:rPr>
          <w:rFonts w:hint="eastAsia" w:ascii="宋体" w:hAnsi="宋体" w:eastAsia="宋体" w:cs="宋体"/>
          <w:b/>
          <w:bCs/>
          <w:color w:val="auto"/>
          <w:sz w:val="30"/>
        </w:rPr>
        <w:t xml:space="preserve">附件三                  </w:t>
      </w:r>
    </w:p>
    <w:p w14:paraId="45E0F408">
      <w:pPr>
        <w:ind w:right="-1413" w:rightChars="-673" w:firstLine="4204" w:firstLineChars="1396"/>
        <w:rPr>
          <w:rFonts w:hint="eastAsia" w:ascii="宋体" w:hAnsi="宋体" w:eastAsia="宋体" w:cs="宋体"/>
          <w:b/>
          <w:bCs/>
          <w:color w:val="auto"/>
          <w:sz w:val="30"/>
        </w:rPr>
      </w:pPr>
    </w:p>
    <w:p w14:paraId="65E74FF0">
      <w:pPr>
        <w:ind w:right="-1413" w:rightChars="-673" w:firstLine="3753" w:firstLineChars="1246"/>
        <w:rPr>
          <w:rFonts w:hint="eastAsia" w:ascii="宋体" w:hAnsi="宋体" w:eastAsia="宋体" w:cs="宋体"/>
          <w:b/>
          <w:bCs/>
          <w:color w:val="auto"/>
          <w:sz w:val="30"/>
        </w:rPr>
      </w:pPr>
      <w:r>
        <w:rPr>
          <w:rFonts w:hint="eastAsia" w:ascii="宋体" w:hAnsi="宋体" w:eastAsia="宋体" w:cs="宋体"/>
          <w:b/>
          <w:bCs/>
          <w:color w:val="auto"/>
          <w:sz w:val="30"/>
        </w:rPr>
        <w:t>符合性检查表</w:t>
      </w:r>
    </w:p>
    <w:p w14:paraId="3EAD285B">
      <w:pPr>
        <w:jc w:val="center"/>
        <w:rPr>
          <w:rFonts w:hint="eastAsia" w:ascii="宋体" w:hAnsi="宋体" w:eastAsia="宋体" w:cs="宋体"/>
          <w:color w:val="auto"/>
          <w:sz w:val="18"/>
          <w:szCs w:val="20"/>
        </w:rPr>
      </w:pPr>
    </w:p>
    <w:tbl>
      <w:tblPr>
        <w:tblStyle w:val="3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2"/>
        <w:gridCol w:w="953"/>
        <w:gridCol w:w="1155"/>
        <w:gridCol w:w="1155"/>
        <w:gridCol w:w="945"/>
        <w:gridCol w:w="840"/>
        <w:gridCol w:w="735"/>
        <w:gridCol w:w="840"/>
        <w:gridCol w:w="855"/>
        <w:gridCol w:w="1080"/>
      </w:tblGrid>
      <w:tr w14:paraId="4D767C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7" w:hRule="atLeast"/>
          <w:jc w:val="center"/>
        </w:trPr>
        <w:tc>
          <w:tcPr>
            <w:tcW w:w="622" w:type="dxa"/>
            <w:vMerge w:val="restart"/>
            <w:tcBorders>
              <w:top w:val="single" w:color="000000" w:sz="12" w:space="0"/>
              <w:left w:val="single" w:color="000000" w:sz="12" w:space="0"/>
              <w:bottom w:val="single" w:color="auto" w:sz="4" w:space="0"/>
              <w:right w:val="single" w:color="auto" w:sz="4" w:space="0"/>
            </w:tcBorders>
            <w:vAlign w:val="center"/>
          </w:tcPr>
          <w:p w14:paraId="20F49442">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序</w:t>
            </w:r>
          </w:p>
          <w:p w14:paraId="03F76C65">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号</w:t>
            </w:r>
          </w:p>
        </w:tc>
        <w:tc>
          <w:tcPr>
            <w:tcW w:w="953" w:type="dxa"/>
            <w:vMerge w:val="restart"/>
            <w:tcBorders>
              <w:top w:val="single" w:color="000000" w:sz="12" w:space="0"/>
              <w:left w:val="single" w:color="auto" w:sz="4" w:space="0"/>
              <w:bottom w:val="single" w:color="auto" w:sz="4" w:space="0"/>
              <w:right w:val="single" w:color="auto" w:sz="4" w:space="0"/>
            </w:tcBorders>
            <w:vAlign w:val="center"/>
          </w:tcPr>
          <w:p w14:paraId="0F3C0EF8">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投标人</w:t>
            </w:r>
          </w:p>
        </w:tc>
        <w:tc>
          <w:tcPr>
            <w:tcW w:w="2310" w:type="dxa"/>
            <w:gridSpan w:val="2"/>
            <w:tcBorders>
              <w:top w:val="single" w:color="000000" w:sz="12" w:space="0"/>
              <w:left w:val="single" w:color="auto" w:sz="4" w:space="0"/>
              <w:bottom w:val="single" w:color="000000" w:sz="4" w:space="0"/>
              <w:right w:val="single" w:color="auto" w:sz="4" w:space="0"/>
            </w:tcBorders>
            <w:vAlign w:val="center"/>
          </w:tcPr>
          <w:p w14:paraId="63695C0A">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完整性</w:t>
            </w:r>
          </w:p>
        </w:tc>
        <w:tc>
          <w:tcPr>
            <w:tcW w:w="5295" w:type="dxa"/>
            <w:gridSpan w:val="6"/>
            <w:tcBorders>
              <w:top w:val="single" w:color="000000" w:sz="12" w:space="0"/>
              <w:left w:val="single" w:color="auto" w:sz="4" w:space="0"/>
              <w:bottom w:val="single" w:color="000000" w:sz="4" w:space="0"/>
              <w:right w:val="single" w:color="000000" w:sz="12" w:space="0"/>
            </w:tcBorders>
            <w:vAlign w:val="center"/>
          </w:tcPr>
          <w:p w14:paraId="7563E1BD">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实质性响应</w:t>
            </w:r>
          </w:p>
        </w:tc>
      </w:tr>
      <w:tr w14:paraId="2F0FE3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jc w:val="center"/>
        </w:trPr>
        <w:tc>
          <w:tcPr>
            <w:tcW w:w="622" w:type="dxa"/>
            <w:vMerge w:val="continue"/>
            <w:tcBorders>
              <w:top w:val="single" w:color="000000" w:sz="12" w:space="0"/>
              <w:left w:val="single" w:color="000000" w:sz="12" w:space="0"/>
              <w:bottom w:val="single" w:color="auto" w:sz="4" w:space="0"/>
              <w:right w:val="single" w:color="auto" w:sz="4" w:space="0"/>
            </w:tcBorders>
            <w:vAlign w:val="center"/>
          </w:tcPr>
          <w:p w14:paraId="64E67F99">
            <w:pPr>
              <w:widowControl/>
              <w:jc w:val="left"/>
              <w:rPr>
                <w:rFonts w:hint="eastAsia" w:ascii="宋体" w:hAnsi="宋体" w:eastAsia="宋体" w:cs="宋体"/>
                <w:color w:val="auto"/>
                <w:sz w:val="24"/>
              </w:rPr>
            </w:pPr>
          </w:p>
        </w:tc>
        <w:tc>
          <w:tcPr>
            <w:tcW w:w="953" w:type="dxa"/>
            <w:vMerge w:val="continue"/>
            <w:tcBorders>
              <w:top w:val="single" w:color="000000" w:sz="12" w:space="0"/>
              <w:left w:val="single" w:color="auto" w:sz="4" w:space="0"/>
              <w:bottom w:val="single" w:color="auto" w:sz="4" w:space="0"/>
              <w:right w:val="single" w:color="auto" w:sz="4" w:space="0"/>
            </w:tcBorders>
            <w:vAlign w:val="center"/>
          </w:tcPr>
          <w:p w14:paraId="3B421379">
            <w:pPr>
              <w:widowControl/>
              <w:jc w:val="left"/>
              <w:rPr>
                <w:rFonts w:hint="eastAsia" w:ascii="宋体" w:hAnsi="宋体" w:eastAsia="宋体" w:cs="宋体"/>
                <w:color w:val="auto"/>
                <w:sz w:val="24"/>
              </w:rPr>
            </w:pPr>
          </w:p>
        </w:tc>
        <w:tc>
          <w:tcPr>
            <w:tcW w:w="1155" w:type="dxa"/>
            <w:tcBorders>
              <w:top w:val="single" w:color="000000" w:sz="4" w:space="0"/>
              <w:left w:val="single" w:color="auto" w:sz="4" w:space="0"/>
              <w:bottom w:val="single" w:color="auto" w:sz="4" w:space="0"/>
              <w:right w:val="single" w:color="auto" w:sz="4" w:space="0"/>
            </w:tcBorders>
            <w:vAlign w:val="center"/>
          </w:tcPr>
          <w:p w14:paraId="53AA8316">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投标文件的组成</w:t>
            </w:r>
          </w:p>
        </w:tc>
        <w:tc>
          <w:tcPr>
            <w:tcW w:w="1155" w:type="dxa"/>
            <w:tcBorders>
              <w:top w:val="single" w:color="auto" w:sz="4" w:space="0"/>
              <w:left w:val="single" w:color="auto" w:sz="4" w:space="0"/>
              <w:bottom w:val="single" w:color="auto" w:sz="4" w:space="0"/>
              <w:right w:val="single" w:color="auto" w:sz="4" w:space="0"/>
            </w:tcBorders>
            <w:vAlign w:val="center"/>
          </w:tcPr>
          <w:p w14:paraId="2BF880D8">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投标文件的格式</w:t>
            </w:r>
          </w:p>
        </w:tc>
        <w:tc>
          <w:tcPr>
            <w:tcW w:w="945" w:type="dxa"/>
            <w:tcBorders>
              <w:top w:val="single" w:color="auto" w:sz="4" w:space="0"/>
              <w:left w:val="single" w:color="auto" w:sz="4" w:space="0"/>
              <w:bottom w:val="single" w:color="auto" w:sz="4" w:space="0"/>
              <w:right w:val="single" w:color="auto" w:sz="4" w:space="0"/>
            </w:tcBorders>
            <w:vAlign w:val="center"/>
          </w:tcPr>
          <w:p w14:paraId="41066339">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报价</w:t>
            </w:r>
          </w:p>
          <w:p w14:paraId="080A42C1">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范围</w:t>
            </w:r>
          </w:p>
        </w:tc>
        <w:tc>
          <w:tcPr>
            <w:tcW w:w="840" w:type="dxa"/>
            <w:tcBorders>
              <w:top w:val="single" w:color="auto" w:sz="4" w:space="0"/>
              <w:left w:val="single" w:color="auto" w:sz="4" w:space="0"/>
              <w:bottom w:val="single" w:color="auto" w:sz="4" w:space="0"/>
              <w:right w:val="single" w:color="auto" w:sz="4" w:space="0"/>
            </w:tcBorders>
            <w:vAlign w:val="center"/>
          </w:tcPr>
          <w:p w14:paraId="78F4F4ED">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付款方式</w:t>
            </w:r>
          </w:p>
        </w:tc>
        <w:tc>
          <w:tcPr>
            <w:tcW w:w="735" w:type="dxa"/>
            <w:tcBorders>
              <w:top w:val="single" w:color="000000" w:sz="4" w:space="0"/>
              <w:left w:val="single" w:color="auto" w:sz="4" w:space="0"/>
              <w:bottom w:val="single" w:color="auto" w:sz="4" w:space="0"/>
              <w:right w:val="single" w:color="auto" w:sz="4" w:space="0"/>
            </w:tcBorders>
            <w:vAlign w:val="center"/>
          </w:tcPr>
          <w:p w14:paraId="5A02E37E">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经营期限</w:t>
            </w:r>
          </w:p>
        </w:tc>
        <w:tc>
          <w:tcPr>
            <w:tcW w:w="840" w:type="dxa"/>
            <w:tcBorders>
              <w:top w:val="single" w:color="000000" w:sz="4" w:space="0"/>
              <w:left w:val="single" w:color="auto" w:sz="4" w:space="0"/>
              <w:bottom w:val="single" w:color="auto" w:sz="4" w:space="0"/>
              <w:right w:val="single" w:color="auto" w:sz="4" w:space="0"/>
            </w:tcBorders>
            <w:vAlign w:val="center"/>
          </w:tcPr>
          <w:p w14:paraId="4ED9F738">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w:t>
            </w:r>
          </w:p>
          <w:p w14:paraId="07811A08">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承诺</w:t>
            </w:r>
          </w:p>
        </w:tc>
        <w:tc>
          <w:tcPr>
            <w:tcW w:w="855" w:type="dxa"/>
            <w:tcBorders>
              <w:top w:val="single" w:color="000000" w:sz="4" w:space="0"/>
              <w:left w:val="single" w:color="auto" w:sz="4" w:space="0"/>
              <w:bottom w:val="single" w:color="000000" w:sz="4" w:space="0"/>
              <w:right w:val="single" w:color="auto" w:sz="4" w:space="0"/>
            </w:tcBorders>
            <w:vAlign w:val="center"/>
          </w:tcPr>
          <w:p w14:paraId="05DC39C4">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合同</w:t>
            </w:r>
          </w:p>
          <w:p w14:paraId="1088D6F1">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条款</w:t>
            </w:r>
          </w:p>
        </w:tc>
        <w:tc>
          <w:tcPr>
            <w:tcW w:w="1080" w:type="dxa"/>
            <w:tcBorders>
              <w:top w:val="single" w:color="000000" w:sz="4" w:space="0"/>
              <w:left w:val="single" w:color="auto" w:sz="4" w:space="0"/>
              <w:bottom w:val="single" w:color="000000" w:sz="4" w:space="0"/>
              <w:right w:val="single" w:color="000000" w:sz="12" w:space="0"/>
            </w:tcBorders>
            <w:vAlign w:val="center"/>
          </w:tcPr>
          <w:p w14:paraId="4C733FF7">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其它实质性内容</w:t>
            </w:r>
          </w:p>
        </w:tc>
      </w:tr>
      <w:tr w14:paraId="06A96C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622" w:type="dxa"/>
            <w:tcBorders>
              <w:top w:val="single" w:color="auto" w:sz="4" w:space="0"/>
              <w:left w:val="single" w:color="000000" w:sz="12" w:space="0"/>
              <w:bottom w:val="single" w:color="auto" w:sz="4" w:space="0"/>
              <w:right w:val="single" w:color="auto" w:sz="4" w:space="0"/>
            </w:tcBorders>
          </w:tcPr>
          <w:p w14:paraId="728ADC17">
            <w:pPr>
              <w:pStyle w:val="16"/>
              <w:jc w:val="center"/>
              <w:rPr>
                <w:rFonts w:hint="eastAsia" w:ascii="宋体" w:hAnsi="宋体" w:eastAsia="宋体" w:cs="宋体"/>
                <w:color w:val="auto"/>
                <w:sz w:val="24"/>
              </w:rPr>
            </w:pPr>
          </w:p>
        </w:tc>
        <w:tc>
          <w:tcPr>
            <w:tcW w:w="953" w:type="dxa"/>
            <w:tcBorders>
              <w:top w:val="single" w:color="auto" w:sz="4" w:space="0"/>
              <w:left w:val="single" w:color="auto" w:sz="4" w:space="0"/>
              <w:bottom w:val="single" w:color="auto" w:sz="4" w:space="0"/>
              <w:right w:val="single" w:color="auto" w:sz="4" w:space="0"/>
            </w:tcBorders>
          </w:tcPr>
          <w:p w14:paraId="3C990B8F">
            <w:pPr>
              <w:pStyle w:val="16"/>
              <w:jc w:val="center"/>
              <w:rPr>
                <w:rFonts w:hint="eastAsia" w:ascii="宋体" w:hAnsi="宋体" w:eastAsia="宋体" w:cs="宋体"/>
                <w:color w:val="auto"/>
                <w:sz w:val="24"/>
              </w:rPr>
            </w:pPr>
          </w:p>
        </w:tc>
        <w:tc>
          <w:tcPr>
            <w:tcW w:w="1155" w:type="dxa"/>
            <w:tcBorders>
              <w:top w:val="single" w:color="auto" w:sz="4" w:space="0"/>
              <w:left w:val="single" w:color="auto" w:sz="4" w:space="0"/>
              <w:bottom w:val="single" w:color="auto" w:sz="4" w:space="0"/>
              <w:right w:val="single" w:color="auto" w:sz="4" w:space="0"/>
            </w:tcBorders>
          </w:tcPr>
          <w:p w14:paraId="46246056">
            <w:pPr>
              <w:pStyle w:val="16"/>
              <w:jc w:val="center"/>
              <w:rPr>
                <w:rFonts w:hint="eastAsia" w:ascii="宋体" w:hAnsi="宋体" w:eastAsia="宋体" w:cs="宋体"/>
                <w:color w:val="auto"/>
                <w:sz w:val="24"/>
              </w:rPr>
            </w:pPr>
          </w:p>
        </w:tc>
        <w:tc>
          <w:tcPr>
            <w:tcW w:w="1155" w:type="dxa"/>
            <w:tcBorders>
              <w:top w:val="single" w:color="auto" w:sz="4" w:space="0"/>
              <w:left w:val="single" w:color="auto" w:sz="4" w:space="0"/>
              <w:bottom w:val="single" w:color="auto" w:sz="4" w:space="0"/>
              <w:right w:val="single" w:color="auto" w:sz="4" w:space="0"/>
            </w:tcBorders>
          </w:tcPr>
          <w:p w14:paraId="0C9E4545">
            <w:pPr>
              <w:pStyle w:val="16"/>
              <w:jc w:val="center"/>
              <w:rPr>
                <w:rFonts w:hint="eastAsia" w:ascii="宋体" w:hAnsi="宋体" w:eastAsia="宋体" w:cs="宋体"/>
                <w:color w:val="auto"/>
                <w:sz w:val="24"/>
              </w:rPr>
            </w:pPr>
          </w:p>
        </w:tc>
        <w:tc>
          <w:tcPr>
            <w:tcW w:w="945" w:type="dxa"/>
            <w:tcBorders>
              <w:top w:val="single" w:color="auto" w:sz="4" w:space="0"/>
              <w:left w:val="single" w:color="auto" w:sz="4" w:space="0"/>
              <w:bottom w:val="single" w:color="auto" w:sz="4" w:space="0"/>
              <w:right w:val="single" w:color="auto" w:sz="4" w:space="0"/>
            </w:tcBorders>
          </w:tcPr>
          <w:p w14:paraId="641C7C1D">
            <w:pPr>
              <w:pStyle w:val="16"/>
              <w:jc w:val="center"/>
              <w:rPr>
                <w:rFonts w:hint="eastAsia" w:ascii="宋体" w:hAnsi="宋体" w:eastAsia="宋体" w:cs="宋体"/>
                <w:color w:val="auto"/>
                <w:sz w:val="24"/>
              </w:rPr>
            </w:pPr>
          </w:p>
        </w:tc>
        <w:tc>
          <w:tcPr>
            <w:tcW w:w="840" w:type="dxa"/>
            <w:tcBorders>
              <w:top w:val="single" w:color="auto" w:sz="4" w:space="0"/>
              <w:left w:val="single" w:color="auto" w:sz="4" w:space="0"/>
              <w:bottom w:val="single" w:color="auto" w:sz="4" w:space="0"/>
              <w:right w:val="single" w:color="auto" w:sz="4" w:space="0"/>
            </w:tcBorders>
          </w:tcPr>
          <w:p w14:paraId="2EF22FC3">
            <w:pPr>
              <w:pStyle w:val="16"/>
              <w:jc w:val="center"/>
              <w:rPr>
                <w:rFonts w:hint="eastAsia" w:ascii="宋体" w:hAnsi="宋体" w:eastAsia="宋体" w:cs="宋体"/>
                <w:color w:val="auto"/>
                <w:sz w:val="24"/>
              </w:rPr>
            </w:pPr>
          </w:p>
        </w:tc>
        <w:tc>
          <w:tcPr>
            <w:tcW w:w="735" w:type="dxa"/>
            <w:tcBorders>
              <w:top w:val="single" w:color="auto" w:sz="4" w:space="0"/>
              <w:left w:val="single" w:color="auto" w:sz="4" w:space="0"/>
              <w:bottom w:val="single" w:color="auto" w:sz="4" w:space="0"/>
              <w:right w:val="single" w:color="auto" w:sz="4" w:space="0"/>
            </w:tcBorders>
          </w:tcPr>
          <w:p w14:paraId="7869B11B">
            <w:pPr>
              <w:pStyle w:val="16"/>
              <w:jc w:val="center"/>
              <w:rPr>
                <w:rFonts w:hint="eastAsia" w:ascii="宋体" w:hAnsi="宋体" w:eastAsia="宋体" w:cs="宋体"/>
                <w:color w:val="auto"/>
                <w:sz w:val="24"/>
              </w:rPr>
            </w:pPr>
          </w:p>
        </w:tc>
        <w:tc>
          <w:tcPr>
            <w:tcW w:w="840" w:type="dxa"/>
            <w:tcBorders>
              <w:top w:val="single" w:color="auto" w:sz="4" w:space="0"/>
              <w:left w:val="single" w:color="auto" w:sz="4" w:space="0"/>
              <w:bottom w:val="single" w:color="auto" w:sz="4" w:space="0"/>
              <w:right w:val="single" w:color="auto" w:sz="4" w:space="0"/>
            </w:tcBorders>
          </w:tcPr>
          <w:p w14:paraId="1BD3CD69">
            <w:pPr>
              <w:pStyle w:val="16"/>
              <w:jc w:val="center"/>
              <w:rPr>
                <w:rFonts w:hint="eastAsia" w:ascii="宋体" w:hAnsi="宋体" w:eastAsia="宋体" w:cs="宋体"/>
                <w:color w:val="auto"/>
                <w:sz w:val="24"/>
              </w:rPr>
            </w:pPr>
          </w:p>
        </w:tc>
        <w:tc>
          <w:tcPr>
            <w:tcW w:w="855" w:type="dxa"/>
            <w:tcBorders>
              <w:top w:val="single" w:color="000000" w:sz="4" w:space="0"/>
              <w:left w:val="single" w:color="auto" w:sz="4" w:space="0"/>
              <w:bottom w:val="single" w:color="000000" w:sz="4" w:space="0"/>
              <w:right w:val="single" w:color="auto" w:sz="4" w:space="0"/>
            </w:tcBorders>
          </w:tcPr>
          <w:p w14:paraId="6A90DE3E">
            <w:pPr>
              <w:pStyle w:val="16"/>
              <w:jc w:val="center"/>
              <w:rPr>
                <w:rFonts w:hint="eastAsia" w:ascii="宋体" w:hAnsi="宋体" w:eastAsia="宋体" w:cs="宋体"/>
                <w:color w:val="auto"/>
                <w:sz w:val="24"/>
              </w:rPr>
            </w:pPr>
          </w:p>
        </w:tc>
        <w:tc>
          <w:tcPr>
            <w:tcW w:w="1080" w:type="dxa"/>
            <w:tcBorders>
              <w:top w:val="single" w:color="000000" w:sz="4" w:space="0"/>
              <w:left w:val="single" w:color="auto" w:sz="4" w:space="0"/>
              <w:bottom w:val="single" w:color="000000" w:sz="4" w:space="0"/>
              <w:right w:val="single" w:color="000000" w:sz="12" w:space="0"/>
            </w:tcBorders>
          </w:tcPr>
          <w:p w14:paraId="6E70FEF3">
            <w:pPr>
              <w:pStyle w:val="16"/>
              <w:jc w:val="center"/>
              <w:rPr>
                <w:rFonts w:hint="eastAsia" w:ascii="宋体" w:hAnsi="宋体" w:eastAsia="宋体" w:cs="宋体"/>
                <w:color w:val="auto"/>
                <w:sz w:val="24"/>
              </w:rPr>
            </w:pPr>
          </w:p>
        </w:tc>
      </w:tr>
      <w:tr w14:paraId="5FB624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622" w:type="dxa"/>
            <w:tcBorders>
              <w:top w:val="single" w:color="auto" w:sz="4" w:space="0"/>
              <w:left w:val="single" w:color="000000" w:sz="12" w:space="0"/>
              <w:bottom w:val="single" w:color="auto" w:sz="4" w:space="0"/>
              <w:right w:val="single" w:color="auto" w:sz="4" w:space="0"/>
            </w:tcBorders>
          </w:tcPr>
          <w:p w14:paraId="60951316">
            <w:pPr>
              <w:pStyle w:val="16"/>
              <w:jc w:val="center"/>
              <w:rPr>
                <w:rFonts w:hint="eastAsia" w:ascii="宋体" w:hAnsi="宋体" w:eastAsia="宋体" w:cs="宋体"/>
                <w:color w:val="auto"/>
                <w:sz w:val="24"/>
              </w:rPr>
            </w:pPr>
          </w:p>
        </w:tc>
        <w:tc>
          <w:tcPr>
            <w:tcW w:w="953" w:type="dxa"/>
            <w:tcBorders>
              <w:top w:val="single" w:color="auto" w:sz="4" w:space="0"/>
              <w:left w:val="single" w:color="auto" w:sz="4" w:space="0"/>
              <w:bottom w:val="single" w:color="auto" w:sz="4" w:space="0"/>
              <w:right w:val="single" w:color="auto" w:sz="4" w:space="0"/>
            </w:tcBorders>
          </w:tcPr>
          <w:p w14:paraId="3374239D">
            <w:pPr>
              <w:pStyle w:val="16"/>
              <w:jc w:val="center"/>
              <w:rPr>
                <w:rFonts w:hint="eastAsia" w:ascii="宋体" w:hAnsi="宋体" w:eastAsia="宋体" w:cs="宋体"/>
                <w:color w:val="auto"/>
                <w:sz w:val="24"/>
              </w:rPr>
            </w:pPr>
          </w:p>
        </w:tc>
        <w:tc>
          <w:tcPr>
            <w:tcW w:w="1155" w:type="dxa"/>
            <w:tcBorders>
              <w:top w:val="single" w:color="auto" w:sz="4" w:space="0"/>
              <w:left w:val="single" w:color="auto" w:sz="4" w:space="0"/>
              <w:bottom w:val="single" w:color="auto" w:sz="4" w:space="0"/>
              <w:right w:val="single" w:color="auto" w:sz="4" w:space="0"/>
            </w:tcBorders>
          </w:tcPr>
          <w:p w14:paraId="2EA0ABFA">
            <w:pPr>
              <w:pStyle w:val="16"/>
              <w:jc w:val="center"/>
              <w:rPr>
                <w:rFonts w:hint="eastAsia" w:ascii="宋体" w:hAnsi="宋体" w:eastAsia="宋体" w:cs="宋体"/>
                <w:color w:val="auto"/>
                <w:sz w:val="24"/>
              </w:rPr>
            </w:pPr>
          </w:p>
        </w:tc>
        <w:tc>
          <w:tcPr>
            <w:tcW w:w="1155" w:type="dxa"/>
            <w:tcBorders>
              <w:top w:val="single" w:color="auto" w:sz="4" w:space="0"/>
              <w:left w:val="single" w:color="auto" w:sz="4" w:space="0"/>
              <w:bottom w:val="single" w:color="auto" w:sz="4" w:space="0"/>
              <w:right w:val="single" w:color="auto" w:sz="4" w:space="0"/>
            </w:tcBorders>
          </w:tcPr>
          <w:p w14:paraId="31BA48CD">
            <w:pPr>
              <w:pStyle w:val="16"/>
              <w:jc w:val="center"/>
              <w:rPr>
                <w:rFonts w:hint="eastAsia" w:ascii="宋体" w:hAnsi="宋体" w:eastAsia="宋体" w:cs="宋体"/>
                <w:color w:val="auto"/>
                <w:sz w:val="24"/>
              </w:rPr>
            </w:pPr>
          </w:p>
        </w:tc>
        <w:tc>
          <w:tcPr>
            <w:tcW w:w="945" w:type="dxa"/>
            <w:tcBorders>
              <w:top w:val="single" w:color="auto" w:sz="4" w:space="0"/>
              <w:left w:val="single" w:color="auto" w:sz="4" w:space="0"/>
              <w:bottom w:val="single" w:color="auto" w:sz="4" w:space="0"/>
              <w:right w:val="single" w:color="auto" w:sz="4" w:space="0"/>
            </w:tcBorders>
          </w:tcPr>
          <w:p w14:paraId="2FA44F0B">
            <w:pPr>
              <w:pStyle w:val="16"/>
              <w:jc w:val="center"/>
              <w:rPr>
                <w:rFonts w:hint="eastAsia" w:ascii="宋体" w:hAnsi="宋体" w:eastAsia="宋体" w:cs="宋体"/>
                <w:color w:val="auto"/>
                <w:sz w:val="24"/>
              </w:rPr>
            </w:pPr>
          </w:p>
        </w:tc>
        <w:tc>
          <w:tcPr>
            <w:tcW w:w="840" w:type="dxa"/>
            <w:tcBorders>
              <w:top w:val="single" w:color="auto" w:sz="4" w:space="0"/>
              <w:left w:val="single" w:color="auto" w:sz="4" w:space="0"/>
              <w:bottom w:val="single" w:color="auto" w:sz="4" w:space="0"/>
              <w:right w:val="single" w:color="auto" w:sz="4" w:space="0"/>
            </w:tcBorders>
          </w:tcPr>
          <w:p w14:paraId="0999162D">
            <w:pPr>
              <w:pStyle w:val="16"/>
              <w:jc w:val="center"/>
              <w:rPr>
                <w:rFonts w:hint="eastAsia" w:ascii="宋体" w:hAnsi="宋体" w:eastAsia="宋体" w:cs="宋体"/>
                <w:color w:val="auto"/>
                <w:sz w:val="24"/>
              </w:rPr>
            </w:pPr>
          </w:p>
        </w:tc>
        <w:tc>
          <w:tcPr>
            <w:tcW w:w="735" w:type="dxa"/>
            <w:tcBorders>
              <w:top w:val="single" w:color="auto" w:sz="4" w:space="0"/>
              <w:left w:val="single" w:color="auto" w:sz="4" w:space="0"/>
              <w:bottom w:val="single" w:color="auto" w:sz="4" w:space="0"/>
              <w:right w:val="single" w:color="auto" w:sz="4" w:space="0"/>
            </w:tcBorders>
          </w:tcPr>
          <w:p w14:paraId="1AC1BF39">
            <w:pPr>
              <w:pStyle w:val="16"/>
              <w:jc w:val="center"/>
              <w:rPr>
                <w:rFonts w:hint="eastAsia" w:ascii="宋体" w:hAnsi="宋体" w:eastAsia="宋体" w:cs="宋体"/>
                <w:color w:val="auto"/>
                <w:sz w:val="24"/>
              </w:rPr>
            </w:pPr>
          </w:p>
        </w:tc>
        <w:tc>
          <w:tcPr>
            <w:tcW w:w="840" w:type="dxa"/>
            <w:tcBorders>
              <w:top w:val="single" w:color="auto" w:sz="4" w:space="0"/>
              <w:left w:val="single" w:color="auto" w:sz="4" w:space="0"/>
              <w:bottom w:val="single" w:color="auto" w:sz="4" w:space="0"/>
              <w:right w:val="single" w:color="auto" w:sz="4" w:space="0"/>
            </w:tcBorders>
          </w:tcPr>
          <w:p w14:paraId="55EADAAF">
            <w:pPr>
              <w:pStyle w:val="16"/>
              <w:jc w:val="center"/>
              <w:rPr>
                <w:rFonts w:hint="eastAsia" w:ascii="宋体" w:hAnsi="宋体" w:eastAsia="宋体" w:cs="宋体"/>
                <w:color w:val="auto"/>
                <w:sz w:val="24"/>
              </w:rPr>
            </w:pPr>
          </w:p>
        </w:tc>
        <w:tc>
          <w:tcPr>
            <w:tcW w:w="855" w:type="dxa"/>
            <w:tcBorders>
              <w:top w:val="single" w:color="000000" w:sz="4" w:space="0"/>
              <w:left w:val="single" w:color="auto" w:sz="4" w:space="0"/>
              <w:bottom w:val="single" w:color="000000" w:sz="4" w:space="0"/>
              <w:right w:val="single" w:color="auto" w:sz="4" w:space="0"/>
            </w:tcBorders>
          </w:tcPr>
          <w:p w14:paraId="6E871159">
            <w:pPr>
              <w:pStyle w:val="16"/>
              <w:jc w:val="center"/>
              <w:rPr>
                <w:rFonts w:hint="eastAsia" w:ascii="宋体" w:hAnsi="宋体" w:eastAsia="宋体" w:cs="宋体"/>
                <w:color w:val="auto"/>
                <w:sz w:val="24"/>
              </w:rPr>
            </w:pPr>
          </w:p>
        </w:tc>
        <w:tc>
          <w:tcPr>
            <w:tcW w:w="1080" w:type="dxa"/>
            <w:tcBorders>
              <w:top w:val="single" w:color="000000" w:sz="4" w:space="0"/>
              <w:left w:val="single" w:color="auto" w:sz="4" w:space="0"/>
              <w:bottom w:val="single" w:color="000000" w:sz="4" w:space="0"/>
              <w:right w:val="single" w:color="000000" w:sz="12" w:space="0"/>
            </w:tcBorders>
          </w:tcPr>
          <w:p w14:paraId="5D8C5D0B">
            <w:pPr>
              <w:pStyle w:val="16"/>
              <w:jc w:val="center"/>
              <w:rPr>
                <w:rFonts w:hint="eastAsia" w:ascii="宋体" w:hAnsi="宋体" w:eastAsia="宋体" w:cs="宋体"/>
                <w:color w:val="auto"/>
                <w:sz w:val="24"/>
              </w:rPr>
            </w:pPr>
          </w:p>
        </w:tc>
      </w:tr>
      <w:tr w14:paraId="7CB99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622" w:type="dxa"/>
            <w:tcBorders>
              <w:top w:val="single" w:color="auto" w:sz="4" w:space="0"/>
              <w:left w:val="single" w:color="000000" w:sz="12" w:space="0"/>
              <w:bottom w:val="single" w:color="auto" w:sz="4" w:space="0"/>
              <w:right w:val="single" w:color="auto" w:sz="4" w:space="0"/>
            </w:tcBorders>
          </w:tcPr>
          <w:p w14:paraId="281FA13E">
            <w:pPr>
              <w:pStyle w:val="16"/>
              <w:jc w:val="center"/>
              <w:rPr>
                <w:rFonts w:hint="eastAsia" w:ascii="宋体" w:hAnsi="宋体" w:eastAsia="宋体" w:cs="宋体"/>
                <w:color w:val="auto"/>
              </w:rPr>
            </w:pPr>
          </w:p>
        </w:tc>
        <w:tc>
          <w:tcPr>
            <w:tcW w:w="953" w:type="dxa"/>
            <w:tcBorders>
              <w:top w:val="single" w:color="auto" w:sz="4" w:space="0"/>
              <w:left w:val="single" w:color="auto" w:sz="4" w:space="0"/>
              <w:bottom w:val="single" w:color="auto" w:sz="4" w:space="0"/>
              <w:right w:val="single" w:color="auto" w:sz="4" w:space="0"/>
            </w:tcBorders>
          </w:tcPr>
          <w:p w14:paraId="174756EF">
            <w:pPr>
              <w:pStyle w:val="16"/>
              <w:jc w:val="center"/>
              <w:rPr>
                <w:rFonts w:hint="eastAsia" w:ascii="宋体" w:hAnsi="宋体" w:eastAsia="宋体" w:cs="宋体"/>
                <w:color w:val="auto"/>
              </w:rPr>
            </w:pPr>
          </w:p>
        </w:tc>
        <w:tc>
          <w:tcPr>
            <w:tcW w:w="1155" w:type="dxa"/>
            <w:tcBorders>
              <w:top w:val="single" w:color="auto" w:sz="4" w:space="0"/>
              <w:left w:val="single" w:color="auto" w:sz="4" w:space="0"/>
              <w:bottom w:val="single" w:color="auto" w:sz="4" w:space="0"/>
              <w:right w:val="single" w:color="auto" w:sz="4" w:space="0"/>
            </w:tcBorders>
          </w:tcPr>
          <w:p w14:paraId="56388F51">
            <w:pPr>
              <w:pStyle w:val="16"/>
              <w:jc w:val="center"/>
              <w:rPr>
                <w:rFonts w:hint="eastAsia" w:ascii="宋体" w:hAnsi="宋体" w:eastAsia="宋体" w:cs="宋体"/>
                <w:color w:val="auto"/>
              </w:rPr>
            </w:pPr>
          </w:p>
        </w:tc>
        <w:tc>
          <w:tcPr>
            <w:tcW w:w="1155" w:type="dxa"/>
            <w:tcBorders>
              <w:top w:val="single" w:color="auto" w:sz="4" w:space="0"/>
              <w:left w:val="single" w:color="auto" w:sz="4" w:space="0"/>
              <w:bottom w:val="single" w:color="auto" w:sz="4" w:space="0"/>
              <w:right w:val="single" w:color="auto" w:sz="4" w:space="0"/>
            </w:tcBorders>
          </w:tcPr>
          <w:p w14:paraId="06A37AE9">
            <w:pPr>
              <w:pStyle w:val="16"/>
              <w:jc w:val="center"/>
              <w:rPr>
                <w:rFonts w:hint="eastAsia" w:ascii="宋体" w:hAnsi="宋体" w:eastAsia="宋体" w:cs="宋体"/>
                <w:color w:val="auto"/>
              </w:rPr>
            </w:pPr>
          </w:p>
        </w:tc>
        <w:tc>
          <w:tcPr>
            <w:tcW w:w="945" w:type="dxa"/>
            <w:tcBorders>
              <w:top w:val="single" w:color="auto" w:sz="4" w:space="0"/>
              <w:left w:val="single" w:color="auto" w:sz="4" w:space="0"/>
              <w:bottom w:val="single" w:color="auto" w:sz="4" w:space="0"/>
              <w:right w:val="single" w:color="auto" w:sz="4" w:space="0"/>
            </w:tcBorders>
          </w:tcPr>
          <w:p w14:paraId="57E4D69A">
            <w:pPr>
              <w:pStyle w:val="16"/>
              <w:jc w:val="center"/>
              <w:rPr>
                <w:rFonts w:hint="eastAsia" w:ascii="宋体" w:hAnsi="宋体" w:eastAsia="宋体" w:cs="宋体"/>
                <w:color w:val="auto"/>
              </w:rPr>
            </w:pPr>
          </w:p>
        </w:tc>
        <w:tc>
          <w:tcPr>
            <w:tcW w:w="840" w:type="dxa"/>
            <w:tcBorders>
              <w:top w:val="single" w:color="auto" w:sz="4" w:space="0"/>
              <w:left w:val="single" w:color="auto" w:sz="4" w:space="0"/>
              <w:bottom w:val="single" w:color="auto" w:sz="4" w:space="0"/>
              <w:right w:val="single" w:color="auto" w:sz="4" w:space="0"/>
            </w:tcBorders>
          </w:tcPr>
          <w:p w14:paraId="587F1BB9">
            <w:pPr>
              <w:pStyle w:val="16"/>
              <w:jc w:val="center"/>
              <w:rPr>
                <w:rFonts w:hint="eastAsia" w:ascii="宋体" w:hAnsi="宋体" w:eastAsia="宋体" w:cs="宋体"/>
                <w:color w:val="auto"/>
              </w:rPr>
            </w:pPr>
          </w:p>
        </w:tc>
        <w:tc>
          <w:tcPr>
            <w:tcW w:w="735" w:type="dxa"/>
            <w:tcBorders>
              <w:top w:val="single" w:color="auto" w:sz="4" w:space="0"/>
              <w:left w:val="single" w:color="auto" w:sz="4" w:space="0"/>
              <w:bottom w:val="single" w:color="auto" w:sz="4" w:space="0"/>
              <w:right w:val="single" w:color="auto" w:sz="4" w:space="0"/>
            </w:tcBorders>
          </w:tcPr>
          <w:p w14:paraId="21F412D3">
            <w:pPr>
              <w:pStyle w:val="16"/>
              <w:jc w:val="center"/>
              <w:rPr>
                <w:rFonts w:hint="eastAsia" w:ascii="宋体" w:hAnsi="宋体" w:eastAsia="宋体" w:cs="宋体"/>
                <w:color w:val="auto"/>
              </w:rPr>
            </w:pPr>
          </w:p>
        </w:tc>
        <w:tc>
          <w:tcPr>
            <w:tcW w:w="840" w:type="dxa"/>
            <w:tcBorders>
              <w:top w:val="single" w:color="auto" w:sz="4" w:space="0"/>
              <w:left w:val="single" w:color="auto" w:sz="4" w:space="0"/>
              <w:bottom w:val="single" w:color="auto" w:sz="4" w:space="0"/>
              <w:right w:val="single" w:color="auto" w:sz="4" w:space="0"/>
            </w:tcBorders>
          </w:tcPr>
          <w:p w14:paraId="2B56BDA0">
            <w:pPr>
              <w:pStyle w:val="16"/>
              <w:jc w:val="center"/>
              <w:rPr>
                <w:rFonts w:hint="eastAsia" w:ascii="宋体" w:hAnsi="宋体" w:eastAsia="宋体" w:cs="宋体"/>
                <w:color w:val="auto"/>
              </w:rPr>
            </w:pPr>
          </w:p>
        </w:tc>
        <w:tc>
          <w:tcPr>
            <w:tcW w:w="855" w:type="dxa"/>
            <w:tcBorders>
              <w:top w:val="single" w:color="000000" w:sz="4" w:space="0"/>
              <w:left w:val="single" w:color="auto" w:sz="4" w:space="0"/>
              <w:bottom w:val="single" w:color="000000" w:sz="4" w:space="0"/>
              <w:right w:val="single" w:color="auto" w:sz="4" w:space="0"/>
            </w:tcBorders>
          </w:tcPr>
          <w:p w14:paraId="44DBC90B">
            <w:pPr>
              <w:pStyle w:val="16"/>
              <w:jc w:val="center"/>
              <w:rPr>
                <w:rFonts w:hint="eastAsia" w:ascii="宋体" w:hAnsi="宋体" w:eastAsia="宋体" w:cs="宋体"/>
                <w:color w:val="auto"/>
              </w:rPr>
            </w:pPr>
          </w:p>
        </w:tc>
        <w:tc>
          <w:tcPr>
            <w:tcW w:w="1080" w:type="dxa"/>
            <w:tcBorders>
              <w:top w:val="single" w:color="000000" w:sz="4" w:space="0"/>
              <w:left w:val="single" w:color="auto" w:sz="4" w:space="0"/>
              <w:bottom w:val="single" w:color="000000" w:sz="4" w:space="0"/>
              <w:right w:val="single" w:color="000000" w:sz="12" w:space="0"/>
            </w:tcBorders>
          </w:tcPr>
          <w:p w14:paraId="282D3E4B">
            <w:pPr>
              <w:pStyle w:val="16"/>
              <w:jc w:val="center"/>
              <w:rPr>
                <w:rFonts w:hint="eastAsia" w:ascii="宋体" w:hAnsi="宋体" w:eastAsia="宋体" w:cs="宋体"/>
                <w:color w:val="auto"/>
              </w:rPr>
            </w:pPr>
          </w:p>
        </w:tc>
      </w:tr>
      <w:tr w14:paraId="416659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622" w:type="dxa"/>
            <w:tcBorders>
              <w:top w:val="single" w:color="auto" w:sz="4" w:space="0"/>
              <w:left w:val="single" w:color="000000" w:sz="12" w:space="0"/>
              <w:bottom w:val="single" w:color="auto" w:sz="4" w:space="0"/>
              <w:right w:val="single" w:color="auto" w:sz="4" w:space="0"/>
            </w:tcBorders>
          </w:tcPr>
          <w:p w14:paraId="0CEF9571">
            <w:pPr>
              <w:pStyle w:val="16"/>
              <w:jc w:val="center"/>
              <w:rPr>
                <w:rFonts w:hint="eastAsia" w:ascii="宋体" w:hAnsi="宋体" w:eastAsia="宋体" w:cs="宋体"/>
                <w:color w:val="auto"/>
              </w:rPr>
            </w:pPr>
          </w:p>
        </w:tc>
        <w:tc>
          <w:tcPr>
            <w:tcW w:w="953" w:type="dxa"/>
            <w:tcBorders>
              <w:top w:val="single" w:color="auto" w:sz="4" w:space="0"/>
              <w:left w:val="single" w:color="auto" w:sz="4" w:space="0"/>
              <w:bottom w:val="single" w:color="auto" w:sz="4" w:space="0"/>
              <w:right w:val="single" w:color="auto" w:sz="4" w:space="0"/>
            </w:tcBorders>
          </w:tcPr>
          <w:p w14:paraId="78CD0CEA">
            <w:pPr>
              <w:pStyle w:val="16"/>
              <w:jc w:val="center"/>
              <w:rPr>
                <w:rFonts w:hint="eastAsia" w:ascii="宋体" w:hAnsi="宋体" w:eastAsia="宋体" w:cs="宋体"/>
                <w:color w:val="auto"/>
              </w:rPr>
            </w:pPr>
          </w:p>
        </w:tc>
        <w:tc>
          <w:tcPr>
            <w:tcW w:w="1155" w:type="dxa"/>
            <w:tcBorders>
              <w:top w:val="single" w:color="auto" w:sz="4" w:space="0"/>
              <w:left w:val="single" w:color="auto" w:sz="4" w:space="0"/>
              <w:bottom w:val="single" w:color="auto" w:sz="4" w:space="0"/>
              <w:right w:val="single" w:color="auto" w:sz="4" w:space="0"/>
            </w:tcBorders>
          </w:tcPr>
          <w:p w14:paraId="3B5862C6">
            <w:pPr>
              <w:pStyle w:val="16"/>
              <w:jc w:val="center"/>
              <w:rPr>
                <w:rFonts w:hint="eastAsia" w:ascii="宋体" w:hAnsi="宋体" w:eastAsia="宋体" w:cs="宋体"/>
                <w:color w:val="auto"/>
              </w:rPr>
            </w:pPr>
          </w:p>
        </w:tc>
        <w:tc>
          <w:tcPr>
            <w:tcW w:w="1155" w:type="dxa"/>
            <w:tcBorders>
              <w:top w:val="single" w:color="auto" w:sz="4" w:space="0"/>
              <w:left w:val="single" w:color="auto" w:sz="4" w:space="0"/>
              <w:bottom w:val="single" w:color="auto" w:sz="4" w:space="0"/>
              <w:right w:val="single" w:color="auto" w:sz="4" w:space="0"/>
            </w:tcBorders>
          </w:tcPr>
          <w:p w14:paraId="7FB89E2A">
            <w:pPr>
              <w:pStyle w:val="16"/>
              <w:jc w:val="center"/>
              <w:rPr>
                <w:rFonts w:hint="eastAsia" w:ascii="宋体" w:hAnsi="宋体" w:eastAsia="宋体" w:cs="宋体"/>
                <w:color w:val="auto"/>
              </w:rPr>
            </w:pPr>
          </w:p>
        </w:tc>
        <w:tc>
          <w:tcPr>
            <w:tcW w:w="945" w:type="dxa"/>
            <w:tcBorders>
              <w:top w:val="single" w:color="auto" w:sz="4" w:space="0"/>
              <w:left w:val="single" w:color="auto" w:sz="4" w:space="0"/>
              <w:bottom w:val="single" w:color="auto" w:sz="4" w:space="0"/>
              <w:right w:val="single" w:color="auto" w:sz="4" w:space="0"/>
            </w:tcBorders>
          </w:tcPr>
          <w:p w14:paraId="7B6AFB4A">
            <w:pPr>
              <w:pStyle w:val="16"/>
              <w:jc w:val="center"/>
              <w:rPr>
                <w:rFonts w:hint="eastAsia" w:ascii="宋体" w:hAnsi="宋体" w:eastAsia="宋体" w:cs="宋体"/>
                <w:color w:val="auto"/>
              </w:rPr>
            </w:pPr>
          </w:p>
        </w:tc>
        <w:tc>
          <w:tcPr>
            <w:tcW w:w="840" w:type="dxa"/>
            <w:tcBorders>
              <w:top w:val="single" w:color="auto" w:sz="4" w:space="0"/>
              <w:left w:val="single" w:color="auto" w:sz="4" w:space="0"/>
              <w:bottom w:val="single" w:color="auto" w:sz="4" w:space="0"/>
              <w:right w:val="single" w:color="auto" w:sz="4" w:space="0"/>
            </w:tcBorders>
          </w:tcPr>
          <w:p w14:paraId="7E8F7117">
            <w:pPr>
              <w:pStyle w:val="16"/>
              <w:jc w:val="center"/>
              <w:rPr>
                <w:rFonts w:hint="eastAsia" w:ascii="宋体" w:hAnsi="宋体" w:eastAsia="宋体" w:cs="宋体"/>
                <w:color w:val="auto"/>
              </w:rPr>
            </w:pPr>
          </w:p>
        </w:tc>
        <w:tc>
          <w:tcPr>
            <w:tcW w:w="735" w:type="dxa"/>
            <w:tcBorders>
              <w:top w:val="single" w:color="auto" w:sz="4" w:space="0"/>
              <w:left w:val="single" w:color="auto" w:sz="4" w:space="0"/>
              <w:bottom w:val="single" w:color="auto" w:sz="4" w:space="0"/>
              <w:right w:val="single" w:color="auto" w:sz="4" w:space="0"/>
            </w:tcBorders>
          </w:tcPr>
          <w:p w14:paraId="245D4E96">
            <w:pPr>
              <w:pStyle w:val="16"/>
              <w:jc w:val="center"/>
              <w:rPr>
                <w:rFonts w:hint="eastAsia" w:ascii="宋体" w:hAnsi="宋体" w:eastAsia="宋体" w:cs="宋体"/>
                <w:color w:val="auto"/>
              </w:rPr>
            </w:pPr>
          </w:p>
        </w:tc>
        <w:tc>
          <w:tcPr>
            <w:tcW w:w="840" w:type="dxa"/>
            <w:tcBorders>
              <w:top w:val="single" w:color="auto" w:sz="4" w:space="0"/>
              <w:left w:val="single" w:color="auto" w:sz="4" w:space="0"/>
              <w:bottom w:val="single" w:color="auto" w:sz="4" w:space="0"/>
              <w:right w:val="single" w:color="auto" w:sz="4" w:space="0"/>
            </w:tcBorders>
          </w:tcPr>
          <w:p w14:paraId="5B38F4BC">
            <w:pPr>
              <w:pStyle w:val="16"/>
              <w:jc w:val="center"/>
              <w:rPr>
                <w:rFonts w:hint="eastAsia" w:ascii="宋体" w:hAnsi="宋体" w:eastAsia="宋体" w:cs="宋体"/>
                <w:color w:val="auto"/>
              </w:rPr>
            </w:pPr>
          </w:p>
        </w:tc>
        <w:tc>
          <w:tcPr>
            <w:tcW w:w="855" w:type="dxa"/>
            <w:tcBorders>
              <w:top w:val="single" w:color="000000" w:sz="4" w:space="0"/>
              <w:left w:val="single" w:color="auto" w:sz="4" w:space="0"/>
              <w:bottom w:val="single" w:color="000000" w:sz="4" w:space="0"/>
              <w:right w:val="single" w:color="auto" w:sz="4" w:space="0"/>
            </w:tcBorders>
          </w:tcPr>
          <w:p w14:paraId="3AC82532">
            <w:pPr>
              <w:pStyle w:val="16"/>
              <w:jc w:val="center"/>
              <w:rPr>
                <w:rFonts w:hint="eastAsia" w:ascii="宋体" w:hAnsi="宋体" w:eastAsia="宋体" w:cs="宋体"/>
                <w:color w:val="auto"/>
              </w:rPr>
            </w:pPr>
          </w:p>
        </w:tc>
        <w:tc>
          <w:tcPr>
            <w:tcW w:w="1080" w:type="dxa"/>
            <w:tcBorders>
              <w:top w:val="single" w:color="000000" w:sz="4" w:space="0"/>
              <w:left w:val="single" w:color="auto" w:sz="4" w:space="0"/>
              <w:bottom w:val="single" w:color="000000" w:sz="4" w:space="0"/>
              <w:right w:val="single" w:color="000000" w:sz="12" w:space="0"/>
            </w:tcBorders>
          </w:tcPr>
          <w:p w14:paraId="5268CCD8">
            <w:pPr>
              <w:pStyle w:val="16"/>
              <w:jc w:val="center"/>
              <w:rPr>
                <w:rFonts w:hint="eastAsia" w:ascii="宋体" w:hAnsi="宋体" w:eastAsia="宋体" w:cs="宋体"/>
                <w:color w:val="auto"/>
              </w:rPr>
            </w:pPr>
          </w:p>
        </w:tc>
      </w:tr>
      <w:tr w14:paraId="47D86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622" w:type="dxa"/>
            <w:tcBorders>
              <w:top w:val="single" w:color="auto" w:sz="4" w:space="0"/>
              <w:left w:val="single" w:color="000000" w:sz="12" w:space="0"/>
              <w:bottom w:val="single" w:color="auto" w:sz="12" w:space="0"/>
              <w:right w:val="single" w:color="auto" w:sz="4" w:space="0"/>
            </w:tcBorders>
          </w:tcPr>
          <w:p w14:paraId="305ECEBC">
            <w:pPr>
              <w:pStyle w:val="16"/>
              <w:jc w:val="center"/>
              <w:rPr>
                <w:rFonts w:hint="eastAsia" w:ascii="宋体" w:hAnsi="宋体" w:eastAsia="宋体" w:cs="宋体"/>
                <w:color w:val="auto"/>
              </w:rPr>
            </w:pPr>
          </w:p>
        </w:tc>
        <w:tc>
          <w:tcPr>
            <w:tcW w:w="953" w:type="dxa"/>
            <w:tcBorders>
              <w:top w:val="single" w:color="auto" w:sz="4" w:space="0"/>
              <w:left w:val="single" w:color="auto" w:sz="4" w:space="0"/>
              <w:bottom w:val="single" w:color="auto" w:sz="12" w:space="0"/>
              <w:right w:val="single" w:color="auto" w:sz="4" w:space="0"/>
            </w:tcBorders>
          </w:tcPr>
          <w:p w14:paraId="4301C24D">
            <w:pPr>
              <w:pStyle w:val="16"/>
              <w:jc w:val="center"/>
              <w:rPr>
                <w:rFonts w:hint="eastAsia" w:ascii="宋体" w:hAnsi="宋体" w:eastAsia="宋体" w:cs="宋体"/>
                <w:color w:val="auto"/>
              </w:rPr>
            </w:pPr>
          </w:p>
        </w:tc>
        <w:tc>
          <w:tcPr>
            <w:tcW w:w="1155" w:type="dxa"/>
            <w:tcBorders>
              <w:top w:val="single" w:color="auto" w:sz="4" w:space="0"/>
              <w:left w:val="single" w:color="auto" w:sz="4" w:space="0"/>
              <w:bottom w:val="single" w:color="auto" w:sz="12" w:space="0"/>
              <w:right w:val="single" w:color="auto" w:sz="4" w:space="0"/>
            </w:tcBorders>
          </w:tcPr>
          <w:p w14:paraId="61BE1A4E">
            <w:pPr>
              <w:pStyle w:val="16"/>
              <w:jc w:val="center"/>
              <w:rPr>
                <w:rFonts w:hint="eastAsia" w:ascii="宋体" w:hAnsi="宋体" w:eastAsia="宋体" w:cs="宋体"/>
                <w:color w:val="auto"/>
              </w:rPr>
            </w:pPr>
          </w:p>
        </w:tc>
        <w:tc>
          <w:tcPr>
            <w:tcW w:w="1155" w:type="dxa"/>
            <w:tcBorders>
              <w:top w:val="single" w:color="auto" w:sz="4" w:space="0"/>
              <w:left w:val="single" w:color="auto" w:sz="4" w:space="0"/>
              <w:bottom w:val="single" w:color="auto" w:sz="12" w:space="0"/>
              <w:right w:val="single" w:color="auto" w:sz="4" w:space="0"/>
            </w:tcBorders>
          </w:tcPr>
          <w:p w14:paraId="50DAF5F6">
            <w:pPr>
              <w:pStyle w:val="16"/>
              <w:jc w:val="center"/>
              <w:rPr>
                <w:rFonts w:hint="eastAsia" w:ascii="宋体" w:hAnsi="宋体" w:eastAsia="宋体" w:cs="宋体"/>
                <w:color w:val="auto"/>
              </w:rPr>
            </w:pPr>
          </w:p>
        </w:tc>
        <w:tc>
          <w:tcPr>
            <w:tcW w:w="945" w:type="dxa"/>
            <w:tcBorders>
              <w:top w:val="single" w:color="auto" w:sz="4" w:space="0"/>
              <w:left w:val="single" w:color="auto" w:sz="4" w:space="0"/>
              <w:bottom w:val="single" w:color="auto" w:sz="12" w:space="0"/>
              <w:right w:val="single" w:color="auto" w:sz="4" w:space="0"/>
            </w:tcBorders>
          </w:tcPr>
          <w:p w14:paraId="5382D681">
            <w:pPr>
              <w:pStyle w:val="16"/>
              <w:jc w:val="center"/>
              <w:rPr>
                <w:rFonts w:hint="eastAsia" w:ascii="宋体" w:hAnsi="宋体" w:eastAsia="宋体" w:cs="宋体"/>
                <w:color w:val="auto"/>
              </w:rPr>
            </w:pPr>
          </w:p>
        </w:tc>
        <w:tc>
          <w:tcPr>
            <w:tcW w:w="840" w:type="dxa"/>
            <w:tcBorders>
              <w:top w:val="single" w:color="auto" w:sz="4" w:space="0"/>
              <w:left w:val="single" w:color="auto" w:sz="4" w:space="0"/>
              <w:bottom w:val="single" w:color="auto" w:sz="12" w:space="0"/>
              <w:right w:val="single" w:color="auto" w:sz="4" w:space="0"/>
            </w:tcBorders>
          </w:tcPr>
          <w:p w14:paraId="662CABF9">
            <w:pPr>
              <w:pStyle w:val="16"/>
              <w:jc w:val="center"/>
              <w:rPr>
                <w:rFonts w:hint="eastAsia" w:ascii="宋体" w:hAnsi="宋体" w:eastAsia="宋体" w:cs="宋体"/>
                <w:color w:val="auto"/>
              </w:rPr>
            </w:pPr>
          </w:p>
        </w:tc>
        <w:tc>
          <w:tcPr>
            <w:tcW w:w="735" w:type="dxa"/>
            <w:tcBorders>
              <w:top w:val="single" w:color="auto" w:sz="4" w:space="0"/>
              <w:left w:val="single" w:color="auto" w:sz="4" w:space="0"/>
              <w:bottom w:val="single" w:color="auto" w:sz="12" w:space="0"/>
              <w:right w:val="single" w:color="auto" w:sz="4" w:space="0"/>
            </w:tcBorders>
          </w:tcPr>
          <w:p w14:paraId="3D5BD488">
            <w:pPr>
              <w:pStyle w:val="16"/>
              <w:jc w:val="center"/>
              <w:rPr>
                <w:rFonts w:hint="eastAsia" w:ascii="宋体" w:hAnsi="宋体" w:eastAsia="宋体" w:cs="宋体"/>
                <w:color w:val="auto"/>
              </w:rPr>
            </w:pPr>
          </w:p>
        </w:tc>
        <w:tc>
          <w:tcPr>
            <w:tcW w:w="840" w:type="dxa"/>
            <w:tcBorders>
              <w:top w:val="single" w:color="auto" w:sz="4" w:space="0"/>
              <w:left w:val="single" w:color="auto" w:sz="4" w:space="0"/>
              <w:bottom w:val="single" w:color="auto" w:sz="12" w:space="0"/>
              <w:right w:val="single" w:color="auto" w:sz="4" w:space="0"/>
            </w:tcBorders>
          </w:tcPr>
          <w:p w14:paraId="68A03C6A">
            <w:pPr>
              <w:pStyle w:val="16"/>
              <w:jc w:val="center"/>
              <w:rPr>
                <w:rFonts w:hint="eastAsia" w:ascii="宋体" w:hAnsi="宋体" w:eastAsia="宋体" w:cs="宋体"/>
                <w:color w:val="auto"/>
              </w:rPr>
            </w:pPr>
          </w:p>
        </w:tc>
        <w:tc>
          <w:tcPr>
            <w:tcW w:w="855" w:type="dxa"/>
            <w:tcBorders>
              <w:top w:val="single" w:color="000000" w:sz="4" w:space="0"/>
              <w:left w:val="single" w:color="auto" w:sz="4" w:space="0"/>
              <w:bottom w:val="single" w:color="auto" w:sz="12" w:space="0"/>
              <w:right w:val="single" w:color="auto" w:sz="4" w:space="0"/>
            </w:tcBorders>
          </w:tcPr>
          <w:p w14:paraId="5A84910F">
            <w:pPr>
              <w:pStyle w:val="16"/>
              <w:jc w:val="center"/>
              <w:rPr>
                <w:rFonts w:hint="eastAsia" w:ascii="宋体" w:hAnsi="宋体" w:eastAsia="宋体" w:cs="宋体"/>
                <w:color w:val="auto"/>
              </w:rPr>
            </w:pPr>
          </w:p>
        </w:tc>
        <w:tc>
          <w:tcPr>
            <w:tcW w:w="1080" w:type="dxa"/>
            <w:tcBorders>
              <w:top w:val="single" w:color="000000" w:sz="4" w:space="0"/>
              <w:left w:val="single" w:color="auto" w:sz="4" w:space="0"/>
              <w:bottom w:val="single" w:color="auto" w:sz="12" w:space="0"/>
              <w:right w:val="single" w:color="000000" w:sz="12" w:space="0"/>
            </w:tcBorders>
          </w:tcPr>
          <w:p w14:paraId="21651BA8">
            <w:pPr>
              <w:pStyle w:val="16"/>
              <w:jc w:val="center"/>
              <w:rPr>
                <w:rFonts w:hint="eastAsia" w:ascii="宋体" w:hAnsi="宋体" w:eastAsia="宋体" w:cs="宋体"/>
                <w:color w:val="auto"/>
              </w:rPr>
            </w:pPr>
          </w:p>
        </w:tc>
      </w:tr>
    </w:tbl>
    <w:p w14:paraId="39EC5296">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有下述情况之一的，评标委员会认定其为不合格投标人：</w:t>
      </w:r>
    </w:p>
    <w:p w14:paraId="1FE731C7">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（1） 投标文件载明的投标范围小于或者大于招标文件规定的招标范围的；</w:t>
      </w:r>
    </w:p>
    <w:p w14:paraId="66FD8E80">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（2） 投标文件载明的服务承诺低于招标文件规定的；</w:t>
      </w:r>
    </w:p>
    <w:p w14:paraId="67F6FE66">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（3） 投标文件载明的经营期限超过招标文件规定的；</w:t>
      </w:r>
    </w:p>
    <w:p w14:paraId="5FE57419">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（4） 投标文件附有招标人不能接受的条件的；</w:t>
      </w:r>
    </w:p>
    <w:p w14:paraId="07675F1D">
      <w:pPr>
        <w:pStyle w:val="19"/>
        <w:spacing w:line="440" w:lineRule="exact"/>
        <w:ind w:right="-109" w:rightChars="-52" w:firstLine="357" w:firstLineChars="170"/>
        <w:rPr>
          <w:rFonts w:hint="eastAsia" w:ascii="宋体" w:hAnsi="宋体" w:eastAsia="宋体" w:cs="宋体"/>
          <w:color w:val="auto"/>
        </w:rPr>
      </w:pPr>
      <w:r>
        <w:rPr>
          <w:rFonts w:hint="eastAsia" w:ascii="宋体" w:hAnsi="宋体" w:eastAsia="宋体" w:cs="宋体"/>
          <w:color w:val="auto"/>
        </w:rPr>
        <w:t>（5） 其它未能实质响应招标文件条件和要求的。</w:t>
      </w:r>
    </w:p>
    <w:p w14:paraId="2BAA4C18">
      <w:pPr>
        <w:pStyle w:val="19"/>
        <w:spacing w:line="440" w:lineRule="exact"/>
        <w:ind w:right="-109" w:rightChars="-52" w:firstLine="357" w:firstLineChars="170"/>
        <w:rPr>
          <w:rFonts w:hint="eastAsia" w:ascii="宋体" w:hAnsi="宋体" w:eastAsia="宋体" w:cs="宋体"/>
          <w:color w:val="auto"/>
        </w:rPr>
      </w:pPr>
    </w:p>
    <w:p w14:paraId="264F26C3">
      <w:pPr>
        <w:ind w:right="-1413" w:rightChars="-673"/>
        <w:rPr>
          <w:rFonts w:hint="eastAsia" w:ascii="宋体" w:hAnsi="宋体" w:eastAsia="宋体" w:cs="宋体"/>
          <w:b/>
          <w:bCs/>
          <w:color w:val="auto"/>
          <w:sz w:val="30"/>
        </w:rPr>
      </w:pPr>
    </w:p>
    <w:p w14:paraId="5748B215">
      <w:pPr>
        <w:ind w:right="-1413" w:rightChars="-673"/>
        <w:rPr>
          <w:rFonts w:hint="eastAsia" w:ascii="宋体" w:hAnsi="宋体" w:eastAsia="宋体" w:cs="宋体"/>
          <w:b/>
          <w:bCs/>
          <w:color w:val="auto"/>
          <w:sz w:val="30"/>
        </w:rPr>
      </w:pPr>
    </w:p>
    <w:p w14:paraId="0D7879E3">
      <w:pPr>
        <w:ind w:right="-1413" w:rightChars="-673"/>
        <w:rPr>
          <w:rFonts w:hint="eastAsia" w:ascii="宋体" w:hAnsi="宋体" w:eastAsia="宋体" w:cs="宋体"/>
          <w:b/>
          <w:bCs/>
          <w:color w:val="auto"/>
          <w:sz w:val="30"/>
        </w:rPr>
      </w:pPr>
    </w:p>
    <w:p w14:paraId="1D30A642">
      <w:pPr>
        <w:ind w:right="-1413" w:rightChars="-673"/>
        <w:rPr>
          <w:rFonts w:hint="eastAsia" w:ascii="宋体" w:hAnsi="宋体" w:eastAsia="宋体" w:cs="宋体"/>
          <w:b/>
          <w:bCs/>
          <w:color w:val="auto"/>
          <w:sz w:val="30"/>
        </w:rPr>
      </w:pPr>
    </w:p>
    <w:p w14:paraId="5CA2106B">
      <w:pPr>
        <w:ind w:right="-1413" w:rightChars="-673"/>
        <w:rPr>
          <w:rFonts w:hint="eastAsia" w:ascii="宋体" w:hAnsi="宋体" w:eastAsia="宋体" w:cs="宋体"/>
          <w:b/>
          <w:bCs/>
          <w:color w:val="auto"/>
          <w:sz w:val="30"/>
        </w:rPr>
      </w:pPr>
    </w:p>
    <w:p w14:paraId="28E74A23">
      <w:pPr>
        <w:ind w:right="-1413" w:rightChars="-673"/>
        <w:rPr>
          <w:rFonts w:hint="eastAsia" w:ascii="宋体" w:hAnsi="宋体" w:eastAsia="宋体" w:cs="宋体"/>
          <w:b/>
          <w:bCs/>
          <w:color w:val="auto"/>
          <w:sz w:val="30"/>
        </w:rPr>
      </w:pPr>
    </w:p>
    <w:p w14:paraId="391A5917">
      <w:pPr>
        <w:ind w:right="-1413" w:rightChars="-673"/>
        <w:rPr>
          <w:rFonts w:hint="eastAsia" w:ascii="宋体" w:hAnsi="宋体" w:eastAsia="宋体" w:cs="宋体"/>
          <w:b/>
          <w:bCs/>
          <w:color w:val="auto"/>
          <w:sz w:val="30"/>
        </w:rPr>
      </w:pPr>
    </w:p>
    <w:p w14:paraId="481C3A66">
      <w:pPr>
        <w:ind w:right="-1413" w:rightChars="-673"/>
        <w:rPr>
          <w:rFonts w:hint="eastAsia" w:ascii="宋体" w:hAnsi="宋体" w:eastAsia="宋体" w:cs="宋体"/>
          <w:b/>
          <w:bCs/>
          <w:color w:val="auto"/>
          <w:sz w:val="30"/>
        </w:rPr>
      </w:pPr>
    </w:p>
    <w:p w14:paraId="270BDD58">
      <w:pPr>
        <w:ind w:right="-1413" w:rightChars="-673"/>
        <w:rPr>
          <w:rFonts w:hint="eastAsia" w:ascii="宋体" w:hAnsi="宋体" w:eastAsia="宋体" w:cs="宋体"/>
          <w:b/>
          <w:bCs/>
          <w:color w:val="auto"/>
          <w:sz w:val="30"/>
        </w:rPr>
      </w:pPr>
    </w:p>
    <w:p w14:paraId="381E99C5">
      <w:pPr>
        <w:ind w:right="-1413" w:rightChars="-673"/>
        <w:rPr>
          <w:rFonts w:hint="eastAsia" w:ascii="宋体" w:hAnsi="宋体" w:eastAsia="宋体" w:cs="宋体"/>
          <w:b/>
          <w:bCs/>
          <w:color w:val="auto"/>
          <w:sz w:val="30"/>
        </w:rPr>
      </w:pPr>
    </w:p>
    <w:p w14:paraId="45972C8D">
      <w:pPr>
        <w:ind w:right="-1413" w:rightChars="-673"/>
        <w:rPr>
          <w:rFonts w:hint="eastAsia" w:ascii="宋体" w:hAnsi="宋体" w:eastAsia="宋体" w:cs="宋体"/>
          <w:b/>
          <w:bCs/>
          <w:color w:val="auto"/>
          <w:sz w:val="30"/>
        </w:rPr>
      </w:pPr>
    </w:p>
    <w:p w14:paraId="38241DC8">
      <w:pPr>
        <w:ind w:right="-1413" w:rightChars="-673"/>
        <w:rPr>
          <w:rFonts w:hint="eastAsia" w:ascii="宋体" w:hAnsi="宋体" w:eastAsia="宋体" w:cs="宋体"/>
          <w:b/>
          <w:bCs/>
          <w:color w:val="auto"/>
          <w:sz w:val="30"/>
        </w:rPr>
      </w:pPr>
    </w:p>
    <w:p w14:paraId="24F273F3">
      <w:pPr>
        <w:ind w:right="-1413" w:rightChars="-673"/>
        <w:rPr>
          <w:rFonts w:hint="eastAsia" w:ascii="宋体" w:hAnsi="宋体" w:eastAsia="宋体" w:cs="宋体"/>
          <w:b/>
          <w:bCs/>
          <w:color w:val="auto"/>
          <w:sz w:val="30"/>
        </w:rPr>
      </w:pPr>
    </w:p>
    <w:p w14:paraId="66939356">
      <w:pPr>
        <w:ind w:right="-1413" w:rightChars="-673"/>
        <w:rPr>
          <w:rFonts w:hint="eastAsia" w:ascii="宋体" w:hAnsi="宋体" w:eastAsia="宋体" w:cs="宋体"/>
          <w:b/>
          <w:bCs/>
          <w:color w:val="auto"/>
          <w:sz w:val="30"/>
        </w:rPr>
      </w:pPr>
    </w:p>
    <w:p w14:paraId="1FCD7865">
      <w:pPr>
        <w:ind w:right="-1413" w:rightChars="-673"/>
        <w:rPr>
          <w:rFonts w:hint="eastAsia" w:ascii="宋体" w:hAnsi="宋体" w:eastAsia="宋体" w:cs="宋体"/>
          <w:b/>
          <w:bCs/>
          <w:color w:val="auto"/>
          <w:sz w:val="30"/>
        </w:rPr>
      </w:pPr>
    </w:p>
    <w:p w14:paraId="2D66C529">
      <w:pPr>
        <w:ind w:right="-1413" w:rightChars="-673"/>
        <w:rPr>
          <w:rFonts w:hint="eastAsia" w:ascii="宋体" w:hAnsi="宋体" w:eastAsia="宋体" w:cs="宋体"/>
          <w:b/>
          <w:bCs/>
          <w:color w:val="auto"/>
          <w:sz w:val="30"/>
        </w:rPr>
      </w:pPr>
    </w:p>
    <w:p w14:paraId="6664D4F2">
      <w:pPr>
        <w:ind w:right="-1413" w:rightChars="-673"/>
        <w:rPr>
          <w:rFonts w:hint="eastAsia" w:ascii="宋体" w:hAnsi="宋体" w:eastAsia="宋体" w:cs="宋体"/>
          <w:b/>
          <w:bCs/>
          <w:color w:val="auto"/>
          <w:sz w:val="30"/>
        </w:rPr>
      </w:pPr>
      <w:r>
        <w:rPr>
          <w:rFonts w:hint="eastAsia" w:ascii="宋体" w:hAnsi="宋体" w:eastAsia="宋体" w:cs="宋体"/>
          <w:b/>
          <w:bCs/>
          <w:color w:val="auto"/>
          <w:sz w:val="30"/>
        </w:rPr>
        <w:t>附件四</w:t>
      </w:r>
    </w:p>
    <w:p w14:paraId="0AB9FCE1">
      <w:pPr>
        <w:ind w:right="-1413" w:rightChars="-673"/>
        <w:rPr>
          <w:rFonts w:hint="eastAsia" w:ascii="宋体" w:hAnsi="宋体" w:eastAsia="宋体" w:cs="宋体"/>
          <w:bCs/>
          <w:color w:val="auto"/>
          <w:sz w:val="44"/>
          <w:vertAlign w:val="subscript"/>
        </w:rPr>
      </w:pPr>
      <w:r>
        <w:rPr>
          <w:rFonts w:hint="eastAsia" w:ascii="宋体" w:hAnsi="宋体" w:eastAsia="宋体" w:cs="宋体"/>
          <w:bCs/>
          <w:color w:val="auto"/>
          <w:sz w:val="44"/>
          <w:vertAlign w:val="subscript"/>
        </w:rPr>
        <w:t xml:space="preserve">                             </w:t>
      </w:r>
      <w:r>
        <w:rPr>
          <w:rFonts w:hint="eastAsia" w:ascii="宋体" w:hAnsi="宋体" w:eastAsia="宋体" w:cs="宋体"/>
          <w:b/>
          <w:color w:val="auto"/>
          <w:sz w:val="30"/>
        </w:rPr>
        <w:t xml:space="preserve">不合格投标人情况表 </w:t>
      </w:r>
      <w:r>
        <w:rPr>
          <w:rFonts w:hint="eastAsia" w:ascii="宋体" w:hAnsi="宋体" w:eastAsia="宋体" w:cs="宋体"/>
          <w:b/>
          <w:color w:val="auto"/>
          <w:sz w:val="32"/>
        </w:rPr>
        <w:t xml:space="preserve">         </w:t>
      </w:r>
    </w:p>
    <w:p w14:paraId="50D9E0E9">
      <w:pPr>
        <w:rPr>
          <w:rFonts w:hint="eastAsia" w:ascii="宋体" w:hAnsi="宋体" w:eastAsia="宋体" w:cs="宋体"/>
          <w:color w:val="auto"/>
          <w:sz w:val="18"/>
          <w:szCs w:val="20"/>
        </w:rPr>
      </w:pPr>
      <w:r>
        <w:rPr>
          <w:rFonts w:hint="eastAsia" w:ascii="宋体" w:hAnsi="宋体" w:eastAsia="宋体" w:cs="宋体"/>
          <w:b/>
          <w:color w:val="auto"/>
          <w:sz w:val="32"/>
        </w:rPr>
        <w:t xml:space="preserve">                                        </w:t>
      </w:r>
    </w:p>
    <w:tbl>
      <w:tblPr>
        <w:tblStyle w:val="3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465"/>
        <w:gridCol w:w="5715"/>
      </w:tblGrid>
      <w:tr w14:paraId="6554C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3465" w:type="dxa"/>
            <w:tcBorders>
              <w:top w:val="single" w:color="auto" w:sz="12" w:space="0"/>
              <w:left w:val="single" w:color="auto" w:sz="12" w:space="0"/>
              <w:bottom w:val="single" w:color="auto" w:sz="4" w:space="0"/>
              <w:right w:val="single" w:color="auto" w:sz="4" w:space="0"/>
            </w:tcBorders>
            <w:vAlign w:val="center"/>
          </w:tcPr>
          <w:p w14:paraId="2E4D9EAC">
            <w:pPr>
              <w:ind w:firstLine="960" w:firstLineChars="400"/>
              <w:jc w:val="center"/>
              <w:rPr>
                <w:rFonts w:hint="eastAsia" w:ascii="宋体" w:hAnsi="宋体" w:eastAsia="宋体" w:cs="宋体"/>
                <w:color w:val="auto"/>
                <w:sz w:val="24"/>
                <w:szCs w:val="20"/>
              </w:rPr>
            </w:pPr>
            <w:r>
              <w:rPr>
                <w:rFonts w:hint="eastAsia" w:ascii="宋体" w:hAnsi="宋体" w:eastAsia="宋体" w:cs="宋体"/>
                <w:color w:val="auto"/>
                <w:sz w:val="24"/>
              </w:rPr>
              <w:t>投 标 人</w:t>
            </w:r>
          </w:p>
        </w:tc>
        <w:tc>
          <w:tcPr>
            <w:tcW w:w="5715" w:type="dxa"/>
            <w:tcBorders>
              <w:top w:val="single" w:color="auto" w:sz="12" w:space="0"/>
              <w:left w:val="single" w:color="auto" w:sz="4" w:space="0"/>
              <w:bottom w:val="single" w:color="auto" w:sz="4" w:space="0"/>
              <w:right w:val="single" w:color="auto" w:sz="12" w:space="0"/>
            </w:tcBorders>
            <w:vAlign w:val="center"/>
          </w:tcPr>
          <w:p w14:paraId="75255084">
            <w:pPr>
              <w:jc w:val="center"/>
              <w:rPr>
                <w:rFonts w:hint="eastAsia" w:ascii="宋体" w:hAnsi="宋体" w:eastAsia="宋体" w:cs="宋体"/>
                <w:color w:val="auto"/>
                <w:sz w:val="24"/>
                <w:szCs w:val="20"/>
              </w:rPr>
            </w:pPr>
            <w:r>
              <w:rPr>
                <w:rFonts w:hint="eastAsia" w:ascii="宋体" w:hAnsi="宋体" w:eastAsia="宋体" w:cs="宋体"/>
                <w:color w:val="auto"/>
                <w:sz w:val="24"/>
              </w:rPr>
              <w:t>不合格情况</w:t>
            </w:r>
          </w:p>
        </w:tc>
      </w:tr>
      <w:tr w14:paraId="703F47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5" w:hRule="atLeast"/>
        </w:trPr>
        <w:tc>
          <w:tcPr>
            <w:tcW w:w="3465" w:type="dxa"/>
            <w:tcBorders>
              <w:top w:val="single" w:color="auto" w:sz="4" w:space="0"/>
              <w:left w:val="single" w:color="auto" w:sz="12" w:space="0"/>
              <w:bottom w:val="single" w:color="auto" w:sz="4" w:space="0"/>
              <w:right w:val="single" w:color="auto" w:sz="4" w:space="0"/>
            </w:tcBorders>
          </w:tcPr>
          <w:p w14:paraId="54383335">
            <w:pPr>
              <w:ind w:firstLine="1684"/>
              <w:rPr>
                <w:rFonts w:hint="eastAsia" w:ascii="宋体" w:hAnsi="宋体" w:eastAsia="宋体" w:cs="宋体"/>
                <w:color w:val="auto"/>
                <w:sz w:val="28"/>
                <w:szCs w:val="20"/>
              </w:rPr>
            </w:pPr>
          </w:p>
        </w:tc>
        <w:tc>
          <w:tcPr>
            <w:tcW w:w="5715" w:type="dxa"/>
            <w:tcBorders>
              <w:top w:val="single" w:color="auto" w:sz="4" w:space="0"/>
              <w:left w:val="single" w:color="auto" w:sz="4" w:space="0"/>
              <w:bottom w:val="single" w:color="auto" w:sz="4" w:space="0"/>
              <w:right w:val="single" w:color="auto" w:sz="12" w:space="0"/>
            </w:tcBorders>
          </w:tcPr>
          <w:p w14:paraId="48D853F3">
            <w:pPr>
              <w:rPr>
                <w:rFonts w:hint="eastAsia" w:ascii="宋体" w:hAnsi="宋体" w:eastAsia="宋体" w:cs="宋体"/>
                <w:color w:val="auto"/>
                <w:szCs w:val="20"/>
              </w:rPr>
            </w:pPr>
          </w:p>
        </w:tc>
      </w:tr>
      <w:tr w14:paraId="2C6D58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trPr>
        <w:tc>
          <w:tcPr>
            <w:tcW w:w="3465" w:type="dxa"/>
            <w:tcBorders>
              <w:top w:val="single" w:color="auto" w:sz="4" w:space="0"/>
              <w:left w:val="single" w:color="auto" w:sz="12" w:space="0"/>
              <w:bottom w:val="single" w:color="auto" w:sz="4" w:space="0"/>
              <w:right w:val="single" w:color="auto" w:sz="4" w:space="0"/>
            </w:tcBorders>
          </w:tcPr>
          <w:p w14:paraId="0024E0B4">
            <w:pPr>
              <w:rPr>
                <w:rFonts w:hint="eastAsia" w:ascii="宋体" w:hAnsi="宋体" w:eastAsia="宋体" w:cs="宋体"/>
                <w:color w:val="auto"/>
                <w:sz w:val="28"/>
                <w:szCs w:val="20"/>
              </w:rPr>
            </w:pPr>
          </w:p>
        </w:tc>
        <w:tc>
          <w:tcPr>
            <w:tcW w:w="5715" w:type="dxa"/>
            <w:tcBorders>
              <w:top w:val="single" w:color="auto" w:sz="4" w:space="0"/>
              <w:left w:val="single" w:color="auto" w:sz="4" w:space="0"/>
              <w:bottom w:val="single" w:color="auto" w:sz="4" w:space="0"/>
              <w:right w:val="single" w:color="auto" w:sz="12" w:space="0"/>
            </w:tcBorders>
          </w:tcPr>
          <w:p w14:paraId="04656B6A">
            <w:pPr>
              <w:rPr>
                <w:rFonts w:hint="eastAsia" w:ascii="宋体" w:hAnsi="宋体" w:eastAsia="宋体" w:cs="宋体"/>
                <w:color w:val="auto"/>
                <w:szCs w:val="20"/>
              </w:rPr>
            </w:pPr>
          </w:p>
        </w:tc>
      </w:tr>
      <w:tr w14:paraId="32F6D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trPr>
        <w:tc>
          <w:tcPr>
            <w:tcW w:w="3465" w:type="dxa"/>
            <w:tcBorders>
              <w:top w:val="single" w:color="auto" w:sz="4" w:space="0"/>
              <w:left w:val="single" w:color="auto" w:sz="12" w:space="0"/>
              <w:bottom w:val="single" w:color="auto" w:sz="4" w:space="0"/>
              <w:right w:val="single" w:color="auto" w:sz="4" w:space="0"/>
            </w:tcBorders>
          </w:tcPr>
          <w:p w14:paraId="40F1ECB5">
            <w:pPr>
              <w:rPr>
                <w:rFonts w:hint="eastAsia" w:ascii="宋体" w:hAnsi="宋体" w:eastAsia="宋体" w:cs="宋体"/>
                <w:color w:val="auto"/>
                <w:sz w:val="28"/>
                <w:szCs w:val="20"/>
              </w:rPr>
            </w:pPr>
          </w:p>
        </w:tc>
        <w:tc>
          <w:tcPr>
            <w:tcW w:w="5715" w:type="dxa"/>
            <w:tcBorders>
              <w:top w:val="single" w:color="auto" w:sz="4" w:space="0"/>
              <w:left w:val="single" w:color="auto" w:sz="4" w:space="0"/>
              <w:bottom w:val="single" w:color="auto" w:sz="4" w:space="0"/>
              <w:right w:val="single" w:color="auto" w:sz="12" w:space="0"/>
            </w:tcBorders>
          </w:tcPr>
          <w:p w14:paraId="4AA0F49D">
            <w:pPr>
              <w:rPr>
                <w:rFonts w:hint="eastAsia" w:ascii="宋体" w:hAnsi="宋体" w:eastAsia="宋体" w:cs="宋体"/>
                <w:color w:val="auto"/>
                <w:szCs w:val="20"/>
              </w:rPr>
            </w:pPr>
          </w:p>
        </w:tc>
      </w:tr>
      <w:tr w14:paraId="32D54F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3465" w:type="dxa"/>
            <w:tcBorders>
              <w:top w:val="single" w:color="auto" w:sz="4" w:space="0"/>
              <w:left w:val="single" w:color="auto" w:sz="12" w:space="0"/>
              <w:bottom w:val="single" w:color="auto" w:sz="4" w:space="0"/>
              <w:right w:val="single" w:color="auto" w:sz="4" w:space="0"/>
            </w:tcBorders>
          </w:tcPr>
          <w:p w14:paraId="3BA99CCD">
            <w:pPr>
              <w:rPr>
                <w:rFonts w:hint="eastAsia" w:ascii="宋体" w:hAnsi="宋体" w:eastAsia="宋体" w:cs="宋体"/>
                <w:color w:val="auto"/>
                <w:sz w:val="28"/>
                <w:szCs w:val="20"/>
              </w:rPr>
            </w:pPr>
          </w:p>
        </w:tc>
        <w:tc>
          <w:tcPr>
            <w:tcW w:w="5715" w:type="dxa"/>
            <w:tcBorders>
              <w:top w:val="single" w:color="auto" w:sz="4" w:space="0"/>
              <w:left w:val="single" w:color="auto" w:sz="4" w:space="0"/>
              <w:bottom w:val="single" w:color="auto" w:sz="4" w:space="0"/>
              <w:right w:val="single" w:color="auto" w:sz="12" w:space="0"/>
            </w:tcBorders>
          </w:tcPr>
          <w:p w14:paraId="1679C3EE">
            <w:pPr>
              <w:rPr>
                <w:rFonts w:hint="eastAsia" w:ascii="宋体" w:hAnsi="宋体" w:eastAsia="宋体" w:cs="宋体"/>
                <w:color w:val="auto"/>
                <w:szCs w:val="20"/>
              </w:rPr>
            </w:pPr>
          </w:p>
        </w:tc>
      </w:tr>
      <w:tr w14:paraId="577919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1" w:hRule="atLeast"/>
        </w:trPr>
        <w:tc>
          <w:tcPr>
            <w:tcW w:w="3465" w:type="dxa"/>
            <w:tcBorders>
              <w:top w:val="single" w:color="auto" w:sz="4" w:space="0"/>
              <w:left w:val="single" w:color="auto" w:sz="12" w:space="0"/>
              <w:bottom w:val="single" w:color="auto" w:sz="12" w:space="0"/>
              <w:right w:val="single" w:color="auto" w:sz="4" w:space="0"/>
            </w:tcBorders>
          </w:tcPr>
          <w:p w14:paraId="50E31513">
            <w:pPr>
              <w:rPr>
                <w:rFonts w:hint="eastAsia" w:ascii="宋体" w:hAnsi="宋体" w:eastAsia="宋体" w:cs="宋体"/>
                <w:color w:val="auto"/>
                <w:sz w:val="28"/>
                <w:szCs w:val="20"/>
              </w:rPr>
            </w:pPr>
          </w:p>
        </w:tc>
        <w:tc>
          <w:tcPr>
            <w:tcW w:w="5715" w:type="dxa"/>
            <w:tcBorders>
              <w:top w:val="single" w:color="auto" w:sz="4" w:space="0"/>
              <w:left w:val="single" w:color="auto" w:sz="4" w:space="0"/>
              <w:bottom w:val="single" w:color="auto" w:sz="12" w:space="0"/>
              <w:right w:val="single" w:color="auto" w:sz="12" w:space="0"/>
            </w:tcBorders>
          </w:tcPr>
          <w:p w14:paraId="635DD2C1">
            <w:pPr>
              <w:rPr>
                <w:rFonts w:hint="eastAsia" w:ascii="宋体" w:hAnsi="宋体" w:eastAsia="宋体" w:cs="宋体"/>
                <w:color w:val="auto"/>
                <w:szCs w:val="20"/>
              </w:rPr>
            </w:pPr>
          </w:p>
        </w:tc>
      </w:tr>
    </w:tbl>
    <w:p w14:paraId="4C4A4D1F">
      <w:pPr>
        <w:pStyle w:val="16"/>
        <w:jc w:val="left"/>
        <w:rPr>
          <w:rFonts w:hint="eastAsia" w:ascii="宋体" w:hAnsi="宋体" w:eastAsia="宋体" w:cs="宋体"/>
          <w:color w:val="auto"/>
        </w:rPr>
      </w:pPr>
    </w:p>
    <w:p w14:paraId="01B5B402">
      <w:pPr>
        <w:ind w:right="-1413" w:rightChars="-673"/>
        <w:rPr>
          <w:rFonts w:hint="eastAsia" w:ascii="宋体" w:hAnsi="宋体" w:eastAsia="宋体" w:cs="宋体"/>
          <w:b/>
          <w:bCs/>
          <w:color w:val="auto"/>
          <w:sz w:val="30"/>
        </w:rPr>
      </w:pPr>
    </w:p>
    <w:p w14:paraId="1BFCD0B6">
      <w:pPr>
        <w:ind w:right="-1413" w:rightChars="-673"/>
        <w:rPr>
          <w:rFonts w:hint="eastAsia" w:ascii="宋体" w:hAnsi="宋体" w:eastAsia="宋体" w:cs="宋体"/>
          <w:b/>
          <w:bCs/>
          <w:color w:val="auto"/>
          <w:sz w:val="30"/>
        </w:rPr>
      </w:pPr>
    </w:p>
    <w:p w14:paraId="6070AE71">
      <w:pPr>
        <w:ind w:right="-1413" w:rightChars="-673"/>
        <w:rPr>
          <w:rFonts w:hint="eastAsia" w:ascii="宋体" w:hAnsi="宋体" w:eastAsia="宋体" w:cs="宋体"/>
          <w:b/>
          <w:bCs/>
          <w:color w:val="auto"/>
          <w:sz w:val="30"/>
        </w:rPr>
      </w:pPr>
    </w:p>
    <w:p w14:paraId="543AF660">
      <w:pPr>
        <w:ind w:right="-1413" w:rightChars="-673"/>
        <w:rPr>
          <w:rFonts w:hint="eastAsia" w:ascii="宋体" w:hAnsi="宋体" w:eastAsia="宋体" w:cs="宋体"/>
          <w:b/>
          <w:bCs/>
          <w:color w:val="auto"/>
          <w:sz w:val="30"/>
        </w:rPr>
      </w:pPr>
    </w:p>
    <w:p w14:paraId="34A7FA6F">
      <w:pPr>
        <w:ind w:right="-1413" w:rightChars="-673"/>
        <w:rPr>
          <w:rFonts w:hint="eastAsia" w:ascii="宋体" w:hAnsi="宋体" w:eastAsia="宋体" w:cs="宋体"/>
          <w:b/>
          <w:bCs/>
          <w:color w:val="auto"/>
          <w:sz w:val="30"/>
        </w:rPr>
      </w:pPr>
      <w:r>
        <w:rPr>
          <w:rFonts w:hint="eastAsia" w:ascii="宋体" w:hAnsi="宋体" w:eastAsia="宋体" w:cs="宋体"/>
          <w:b/>
          <w:bCs/>
          <w:color w:val="auto"/>
          <w:sz w:val="30"/>
        </w:rPr>
        <w:t>附件五</w:t>
      </w:r>
    </w:p>
    <w:p w14:paraId="1BB05536">
      <w:pPr>
        <w:ind w:right="-1413" w:rightChars="-673"/>
        <w:rPr>
          <w:rFonts w:hint="eastAsia" w:ascii="宋体" w:hAnsi="宋体" w:eastAsia="宋体" w:cs="宋体"/>
          <w:b/>
          <w:color w:val="auto"/>
        </w:rPr>
      </w:pPr>
    </w:p>
    <w:p w14:paraId="48528405">
      <w:pPr>
        <w:ind w:right="-1413" w:rightChars="-673"/>
        <w:rPr>
          <w:rFonts w:hint="eastAsia" w:ascii="宋体" w:hAnsi="宋体" w:eastAsia="宋体" w:cs="宋体"/>
          <w:bCs/>
          <w:color w:val="auto"/>
          <w:sz w:val="44"/>
          <w:szCs w:val="20"/>
          <w:vertAlign w:val="subscript"/>
        </w:rPr>
      </w:pPr>
      <w:r>
        <w:rPr>
          <w:rFonts w:hint="eastAsia" w:ascii="宋体" w:hAnsi="宋体" w:eastAsia="宋体" w:cs="宋体"/>
          <w:b/>
          <w:color w:val="auto"/>
        </w:rPr>
        <w:t xml:space="preserve">                          </w:t>
      </w:r>
      <w:r>
        <w:rPr>
          <w:rFonts w:hint="eastAsia" w:ascii="宋体" w:hAnsi="宋体" w:eastAsia="宋体" w:cs="宋体"/>
          <w:b/>
          <w:color w:val="auto"/>
          <w:sz w:val="30"/>
        </w:rPr>
        <w:t>进入详细评审的投标人名单表</w:t>
      </w:r>
      <w:r>
        <w:rPr>
          <w:rFonts w:hint="eastAsia" w:ascii="宋体" w:hAnsi="宋体" w:eastAsia="宋体" w:cs="宋体"/>
          <w:b/>
          <w:color w:val="auto"/>
          <w:sz w:val="32"/>
        </w:rPr>
        <w:t xml:space="preserve">  </w:t>
      </w:r>
      <w:r>
        <w:rPr>
          <w:rFonts w:hint="eastAsia" w:ascii="宋体" w:hAnsi="宋体" w:eastAsia="宋体" w:cs="宋体"/>
          <w:b/>
          <w:color w:val="auto"/>
        </w:rPr>
        <w:t xml:space="preserve">      </w:t>
      </w:r>
    </w:p>
    <w:p w14:paraId="4BE29196">
      <w:pPr>
        <w:pStyle w:val="16"/>
        <w:jc w:val="center"/>
        <w:rPr>
          <w:rFonts w:hint="eastAsia" w:ascii="宋体" w:hAnsi="宋体" w:eastAsia="宋体" w:cs="宋体"/>
          <w:color w:val="auto"/>
          <w:sz w:val="18"/>
        </w:rPr>
      </w:pPr>
    </w:p>
    <w:tbl>
      <w:tblPr>
        <w:tblStyle w:val="3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7920"/>
      </w:tblGrid>
      <w:tr w14:paraId="68EB97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080" w:type="dxa"/>
            <w:tcBorders>
              <w:top w:val="single" w:color="000000" w:sz="12" w:space="0"/>
              <w:left w:val="single" w:color="000000" w:sz="12" w:space="0"/>
              <w:bottom w:val="single" w:color="auto" w:sz="4" w:space="0"/>
              <w:right w:val="single" w:color="auto" w:sz="4" w:space="0"/>
            </w:tcBorders>
            <w:vAlign w:val="center"/>
          </w:tcPr>
          <w:p w14:paraId="4FB1E5E3">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7920" w:type="dxa"/>
            <w:tcBorders>
              <w:top w:val="single" w:color="000000" w:sz="12" w:space="0"/>
              <w:left w:val="single" w:color="auto" w:sz="4" w:space="0"/>
              <w:bottom w:val="single" w:color="auto" w:sz="4" w:space="0"/>
              <w:right w:val="single" w:color="auto" w:sz="12" w:space="0"/>
            </w:tcBorders>
            <w:vAlign w:val="center"/>
          </w:tcPr>
          <w:p w14:paraId="052A286F">
            <w:pPr>
              <w:pStyle w:val="16"/>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投标人</w:t>
            </w:r>
          </w:p>
        </w:tc>
      </w:tr>
      <w:tr w14:paraId="1716B8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1080" w:type="dxa"/>
            <w:tcBorders>
              <w:top w:val="single" w:color="auto" w:sz="4" w:space="0"/>
              <w:left w:val="single" w:color="000000" w:sz="12" w:space="0"/>
              <w:bottom w:val="single" w:color="auto" w:sz="4" w:space="0"/>
              <w:right w:val="single" w:color="auto" w:sz="4" w:space="0"/>
            </w:tcBorders>
          </w:tcPr>
          <w:p w14:paraId="66ECB1E2">
            <w:pPr>
              <w:pStyle w:val="16"/>
              <w:jc w:val="center"/>
              <w:rPr>
                <w:rFonts w:hint="eastAsia" w:ascii="宋体" w:hAnsi="宋体" w:eastAsia="宋体" w:cs="宋体"/>
                <w:color w:val="auto"/>
              </w:rPr>
            </w:pPr>
          </w:p>
        </w:tc>
        <w:tc>
          <w:tcPr>
            <w:tcW w:w="7920" w:type="dxa"/>
            <w:tcBorders>
              <w:top w:val="single" w:color="auto" w:sz="4" w:space="0"/>
              <w:left w:val="single" w:color="auto" w:sz="4" w:space="0"/>
              <w:bottom w:val="single" w:color="auto" w:sz="4" w:space="0"/>
              <w:right w:val="single" w:color="auto" w:sz="12" w:space="0"/>
            </w:tcBorders>
          </w:tcPr>
          <w:p w14:paraId="79402624">
            <w:pPr>
              <w:pStyle w:val="16"/>
              <w:jc w:val="center"/>
              <w:rPr>
                <w:rFonts w:hint="eastAsia" w:ascii="宋体" w:hAnsi="宋体" w:eastAsia="宋体" w:cs="宋体"/>
                <w:color w:val="auto"/>
              </w:rPr>
            </w:pPr>
          </w:p>
        </w:tc>
      </w:tr>
      <w:tr w14:paraId="795BE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1080" w:type="dxa"/>
            <w:tcBorders>
              <w:top w:val="single" w:color="auto" w:sz="4" w:space="0"/>
              <w:left w:val="single" w:color="000000" w:sz="12" w:space="0"/>
              <w:bottom w:val="single" w:color="auto" w:sz="4" w:space="0"/>
              <w:right w:val="single" w:color="auto" w:sz="4" w:space="0"/>
            </w:tcBorders>
          </w:tcPr>
          <w:p w14:paraId="79802AB3">
            <w:pPr>
              <w:pStyle w:val="16"/>
              <w:jc w:val="center"/>
              <w:rPr>
                <w:rFonts w:hint="eastAsia" w:ascii="宋体" w:hAnsi="宋体" w:eastAsia="宋体" w:cs="宋体"/>
                <w:color w:val="auto"/>
              </w:rPr>
            </w:pPr>
          </w:p>
        </w:tc>
        <w:tc>
          <w:tcPr>
            <w:tcW w:w="7920" w:type="dxa"/>
            <w:tcBorders>
              <w:top w:val="single" w:color="auto" w:sz="4" w:space="0"/>
              <w:left w:val="single" w:color="auto" w:sz="4" w:space="0"/>
              <w:bottom w:val="single" w:color="auto" w:sz="4" w:space="0"/>
              <w:right w:val="single" w:color="auto" w:sz="12" w:space="0"/>
            </w:tcBorders>
          </w:tcPr>
          <w:p w14:paraId="75CD12AD">
            <w:pPr>
              <w:pStyle w:val="16"/>
              <w:jc w:val="center"/>
              <w:rPr>
                <w:rFonts w:hint="eastAsia" w:ascii="宋体" w:hAnsi="宋体" w:eastAsia="宋体" w:cs="宋体"/>
                <w:color w:val="auto"/>
              </w:rPr>
            </w:pPr>
          </w:p>
        </w:tc>
      </w:tr>
      <w:tr w14:paraId="1F6A14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1080" w:type="dxa"/>
            <w:tcBorders>
              <w:top w:val="single" w:color="auto" w:sz="4" w:space="0"/>
              <w:left w:val="single" w:color="000000" w:sz="12" w:space="0"/>
              <w:bottom w:val="single" w:color="auto" w:sz="4" w:space="0"/>
              <w:right w:val="single" w:color="auto" w:sz="4" w:space="0"/>
            </w:tcBorders>
          </w:tcPr>
          <w:p w14:paraId="79C485F2">
            <w:pPr>
              <w:pStyle w:val="16"/>
              <w:jc w:val="center"/>
              <w:rPr>
                <w:rFonts w:hint="eastAsia" w:ascii="宋体" w:hAnsi="宋体" w:eastAsia="宋体" w:cs="宋体"/>
                <w:color w:val="auto"/>
              </w:rPr>
            </w:pPr>
          </w:p>
        </w:tc>
        <w:tc>
          <w:tcPr>
            <w:tcW w:w="7920" w:type="dxa"/>
            <w:tcBorders>
              <w:top w:val="single" w:color="auto" w:sz="4" w:space="0"/>
              <w:left w:val="single" w:color="auto" w:sz="4" w:space="0"/>
              <w:bottom w:val="single" w:color="auto" w:sz="4" w:space="0"/>
              <w:right w:val="single" w:color="auto" w:sz="12" w:space="0"/>
            </w:tcBorders>
          </w:tcPr>
          <w:p w14:paraId="57433289">
            <w:pPr>
              <w:pStyle w:val="16"/>
              <w:jc w:val="center"/>
              <w:rPr>
                <w:rFonts w:hint="eastAsia" w:ascii="宋体" w:hAnsi="宋体" w:eastAsia="宋体" w:cs="宋体"/>
                <w:color w:val="auto"/>
              </w:rPr>
            </w:pPr>
          </w:p>
        </w:tc>
      </w:tr>
      <w:tr w14:paraId="4377D5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1080" w:type="dxa"/>
            <w:tcBorders>
              <w:top w:val="single" w:color="auto" w:sz="4" w:space="0"/>
              <w:left w:val="single" w:color="000000" w:sz="12" w:space="0"/>
              <w:bottom w:val="single" w:color="auto" w:sz="4" w:space="0"/>
              <w:right w:val="single" w:color="auto" w:sz="4" w:space="0"/>
            </w:tcBorders>
          </w:tcPr>
          <w:p w14:paraId="61303B57">
            <w:pPr>
              <w:pStyle w:val="16"/>
              <w:jc w:val="center"/>
              <w:rPr>
                <w:rFonts w:hint="eastAsia" w:ascii="宋体" w:hAnsi="宋体" w:eastAsia="宋体" w:cs="宋体"/>
                <w:color w:val="auto"/>
              </w:rPr>
            </w:pPr>
          </w:p>
        </w:tc>
        <w:tc>
          <w:tcPr>
            <w:tcW w:w="7920" w:type="dxa"/>
            <w:tcBorders>
              <w:top w:val="single" w:color="auto" w:sz="4" w:space="0"/>
              <w:left w:val="single" w:color="auto" w:sz="4" w:space="0"/>
              <w:bottom w:val="single" w:color="auto" w:sz="4" w:space="0"/>
              <w:right w:val="single" w:color="auto" w:sz="12" w:space="0"/>
            </w:tcBorders>
          </w:tcPr>
          <w:p w14:paraId="1A0DCC52">
            <w:pPr>
              <w:pStyle w:val="16"/>
              <w:jc w:val="center"/>
              <w:rPr>
                <w:rFonts w:hint="eastAsia" w:ascii="宋体" w:hAnsi="宋体" w:eastAsia="宋体" w:cs="宋体"/>
                <w:color w:val="auto"/>
              </w:rPr>
            </w:pPr>
          </w:p>
        </w:tc>
      </w:tr>
      <w:tr w14:paraId="799E1C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080" w:type="dxa"/>
            <w:tcBorders>
              <w:top w:val="single" w:color="auto" w:sz="4" w:space="0"/>
              <w:left w:val="single" w:color="000000" w:sz="12" w:space="0"/>
              <w:bottom w:val="single" w:color="000000" w:sz="12" w:space="0"/>
              <w:right w:val="single" w:color="auto" w:sz="4" w:space="0"/>
            </w:tcBorders>
          </w:tcPr>
          <w:p w14:paraId="234219D5">
            <w:pPr>
              <w:pStyle w:val="16"/>
              <w:jc w:val="center"/>
              <w:rPr>
                <w:rFonts w:hint="eastAsia" w:ascii="宋体" w:hAnsi="宋体" w:eastAsia="宋体" w:cs="宋体"/>
                <w:color w:val="auto"/>
              </w:rPr>
            </w:pPr>
          </w:p>
        </w:tc>
        <w:tc>
          <w:tcPr>
            <w:tcW w:w="7920" w:type="dxa"/>
            <w:tcBorders>
              <w:top w:val="single" w:color="auto" w:sz="4" w:space="0"/>
              <w:left w:val="single" w:color="auto" w:sz="4" w:space="0"/>
              <w:bottom w:val="single" w:color="000000" w:sz="12" w:space="0"/>
              <w:right w:val="single" w:color="auto" w:sz="12" w:space="0"/>
            </w:tcBorders>
          </w:tcPr>
          <w:p w14:paraId="309E6D5B">
            <w:pPr>
              <w:pStyle w:val="16"/>
              <w:jc w:val="center"/>
              <w:rPr>
                <w:rFonts w:hint="eastAsia" w:ascii="宋体" w:hAnsi="宋体" w:eastAsia="宋体" w:cs="宋体"/>
                <w:color w:val="auto"/>
              </w:rPr>
            </w:pPr>
          </w:p>
        </w:tc>
      </w:tr>
    </w:tbl>
    <w:p w14:paraId="2D3ED136">
      <w:pPr>
        <w:ind w:right="-1413" w:rightChars="-673"/>
        <w:rPr>
          <w:rFonts w:hint="eastAsia" w:ascii="宋体" w:hAnsi="宋体" w:eastAsia="宋体" w:cs="宋体"/>
          <w:b/>
          <w:bCs/>
          <w:color w:val="auto"/>
          <w:sz w:val="30"/>
        </w:rPr>
      </w:pPr>
    </w:p>
    <w:p w14:paraId="29DF74B9">
      <w:pPr>
        <w:ind w:right="-1413" w:rightChars="-673"/>
        <w:rPr>
          <w:rFonts w:hint="eastAsia" w:ascii="宋体" w:hAnsi="宋体" w:eastAsia="宋体" w:cs="宋体"/>
          <w:b/>
          <w:bCs/>
          <w:color w:val="auto"/>
          <w:sz w:val="30"/>
        </w:rPr>
      </w:pPr>
    </w:p>
    <w:p w14:paraId="2D648E51">
      <w:pPr>
        <w:ind w:right="-1413" w:rightChars="-673"/>
        <w:rPr>
          <w:rFonts w:hint="eastAsia" w:ascii="宋体" w:hAnsi="宋体" w:eastAsia="宋体" w:cs="宋体"/>
          <w:b/>
          <w:bCs/>
          <w:color w:val="auto"/>
          <w:sz w:val="30"/>
        </w:rPr>
      </w:pPr>
    </w:p>
    <w:p w14:paraId="0F07A840">
      <w:pPr>
        <w:ind w:right="-1413" w:rightChars="-673"/>
        <w:rPr>
          <w:rFonts w:hint="eastAsia" w:ascii="宋体" w:hAnsi="宋体" w:eastAsia="宋体" w:cs="宋体"/>
          <w:b/>
          <w:bCs/>
          <w:color w:val="auto"/>
          <w:sz w:val="30"/>
        </w:rPr>
      </w:pPr>
    </w:p>
    <w:p w14:paraId="2E63BFB3">
      <w:pPr>
        <w:ind w:right="-1413" w:rightChars="-673"/>
        <w:rPr>
          <w:rFonts w:hint="eastAsia" w:ascii="宋体" w:hAnsi="宋体" w:eastAsia="宋体" w:cs="宋体"/>
          <w:b/>
          <w:bCs/>
          <w:color w:val="auto"/>
          <w:sz w:val="30"/>
        </w:rPr>
      </w:pPr>
    </w:p>
    <w:p w14:paraId="069ADDBF">
      <w:pPr>
        <w:ind w:right="-1413" w:rightChars="-673"/>
        <w:rPr>
          <w:rFonts w:hint="eastAsia" w:ascii="宋体" w:hAnsi="宋体" w:eastAsia="宋体" w:cs="宋体"/>
          <w:b/>
          <w:bCs/>
          <w:color w:val="auto"/>
          <w:sz w:val="30"/>
        </w:rPr>
      </w:pPr>
    </w:p>
    <w:p w14:paraId="0D2EF674">
      <w:pPr>
        <w:ind w:right="-1413" w:rightChars="-673"/>
        <w:rPr>
          <w:rFonts w:hint="eastAsia" w:ascii="宋体" w:hAnsi="宋体" w:eastAsia="宋体" w:cs="宋体"/>
          <w:b/>
          <w:bCs/>
          <w:color w:val="auto"/>
          <w:sz w:val="30"/>
        </w:rPr>
      </w:pPr>
    </w:p>
    <w:p w14:paraId="59E1C16D">
      <w:pPr>
        <w:ind w:right="-1413" w:rightChars="-673"/>
        <w:rPr>
          <w:rFonts w:hint="eastAsia" w:ascii="宋体" w:hAnsi="宋体" w:eastAsia="宋体" w:cs="宋体"/>
          <w:b/>
          <w:bCs/>
          <w:color w:val="auto"/>
          <w:sz w:val="30"/>
        </w:rPr>
      </w:pPr>
    </w:p>
    <w:p w14:paraId="5ED47572">
      <w:pPr>
        <w:ind w:right="-1413" w:rightChars="-673"/>
        <w:rPr>
          <w:rFonts w:hint="eastAsia" w:ascii="宋体" w:hAnsi="宋体" w:eastAsia="宋体" w:cs="宋体"/>
          <w:b/>
          <w:bCs/>
          <w:color w:val="auto"/>
          <w:sz w:val="30"/>
        </w:rPr>
      </w:pPr>
    </w:p>
    <w:p w14:paraId="29AE191E">
      <w:pPr>
        <w:ind w:right="-1413" w:rightChars="-673"/>
        <w:rPr>
          <w:rFonts w:hint="eastAsia" w:ascii="宋体" w:hAnsi="宋体" w:eastAsia="宋体" w:cs="宋体"/>
          <w:b/>
          <w:bCs/>
          <w:color w:val="auto"/>
          <w:sz w:val="30"/>
        </w:rPr>
      </w:pPr>
      <w:r>
        <w:rPr>
          <w:rFonts w:hint="eastAsia" w:ascii="宋体" w:hAnsi="宋体" w:eastAsia="宋体" w:cs="宋体"/>
          <w:b/>
          <w:bCs/>
          <w:color w:val="auto"/>
          <w:sz w:val="30"/>
        </w:rPr>
        <w:t>附件六</w:t>
      </w:r>
    </w:p>
    <w:p w14:paraId="3CCC3BB1">
      <w:pPr>
        <w:ind w:right="-1413" w:rightChars="-673" w:firstLine="1946" w:firstLineChars="646"/>
        <w:rPr>
          <w:rFonts w:hint="eastAsia" w:ascii="宋体" w:hAnsi="宋体" w:eastAsia="宋体" w:cs="宋体"/>
          <w:b/>
          <w:color w:val="auto"/>
          <w:sz w:val="30"/>
          <w:szCs w:val="30"/>
        </w:rPr>
      </w:pPr>
    </w:p>
    <w:p w14:paraId="700FF513">
      <w:pPr>
        <w:pStyle w:val="35"/>
        <w:ind w:left="0" w:leftChars="0" w:firstLine="0" w:firstLineChars="0"/>
        <w:jc w:val="center"/>
        <w:rPr>
          <w:rFonts w:hint="eastAsia" w:ascii="宋体" w:hAnsi="宋体" w:eastAsia="宋体" w:cs="宋体"/>
          <w:b/>
          <w:color w:val="auto"/>
          <w:sz w:val="30"/>
        </w:rPr>
      </w:pPr>
      <w:r>
        <w:rPr>
          <w:rFonts w:hint="eastAsia" w:ascii="宋体" w:hAnsi="宋体" w:eastAsia="宋体" w:cs="宋体"/>
          <w:b/>
          <w:color w:val="auto"/>
          <w:sz w:val="30"/>
        </w:rPr>
        <w:t>进入详细评审的投标人名单</w:t>
      </w:r>
    </w:p>
    <w:p w14:paraId="2C996DBA">
      <w:pPr>
        <w:pStyle w:val="35"/>
        <w:ind w:left="0" w:leftChars="0" w:firstLine="0" w:firstLineChars="0"/>
        <w:rPr>
          <w:rFonts w:hint="eastAsia" w:ascii="宋体" w:hAnsi="宋体" w:eastAsia="宋体" w:cs="宋体"/>
          <w:b w:val="0"/>
          <w:bCs/>
          <w:color w:val="auto"/>
          <w:highlight w:val="none"/>
        </w:rPr>
      </w:pPr>
      <w:r>
        <w:rPr>
          <w:rFonts w:hint="eastAsia" w:ascii="宋体" w:hAnsi="宋体" w:eastAsia="宋体" w:cs="宋体"/>
          <w:b w:val="0"/>
          <w:bCs/>
          <w:color w:val="auto"/>
          <w:szCs w:val="21"/>
          <w:highlight w:val="none"/>
        </w:rPr>
        <w:t>项目名称：</w:t>
      </w:r>
    </w:p>
    <w:tbl>
      <w:tblPr>
        <w:tblStyle w:val="38"/>
        <w:tblpPr w:leftFromText="180" w:rightFromText="180" w:vertAnchor="text" w:horzAnchor="page" w:tblpX="1618" w:tblpY="510"/>
        <w:tblOverlap w:val="never"/>
        <w:tblW w:w="9450" w:type="dxa"/>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080"/>
        <w:gridCol w:w="768"/>
        <w:gridCol w:w="374"/>
        <w:gridCol w:w="374"/>
        <w:gridCol w:w="374"/>
        <w:gridCol w:w="374"/>
        <w:gridCol w:w="374"/>
        <w:gridCol w:w="374"/>
        <w:gridCol w:w="374"/>
        <w:gridCol w:w="374"/>
        <w:gridCol w:w="374"/>
        <w:gridCol w:w="374"/>
        <w:gridCol w:w="475"/>
        <w:gridCol w:w="686"/>
        <w:gridCol w:w="1033"/>
        <w:gridCol w:w="956"/>
        <w:gridCol w:w="712"/>
      </w:tblGrid>
      <w:tr w14:paraId="5940B85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1" w:hRule="atLeast"/>
        </w:trPr>
        <w:tc>
          <w:tcPr>
            <w:tcW w:w="1080" w:type="dxa"/>
            <w:vMerge w:val="restart"/>
            <w:tcBorders>
              <w:bottom w:val="single" w:color="auto" w:sz="4" w:space="0"/>
              <w:right w:val="single" w:color="auto" w:sz="4" w:space="0"/>
            </w:tcBorders>
            <w:vAlign w:val="center"/>
          </w:tcPr>
          <w:p w14:paraId="138604CE">
            <w:pPr>
              <w:widowControl/>
              <w:jc w:val="center"/>
              <w:rPr>
                <w:rFonts w:hint="eastAsia" w:ascii="宋体" w:hAnsi="宋体" w:eastAsia="宋体" w:cs="宋体"/>
                <w:b/>
                <w:bCs/>
                <w:color w:val="auto"/>
                <w:kern w:val="0"/>
                <w:szCs w:val="21"/>
                <w:highlight w:val="none"/>
              </w:rPr>
            </w:pPr>
            <w:r>
              <w:rPr>
                <w:rFonts w:hint="eastAsia" w:ascii="宋体" w:hAnsi="宋体" w:eastAsia="宋体" w:cs="宋体"/>
                <w:b w:val="0"/>
                <w:bCs w:val="0"/>
                <w:color w:val="auto"/>
                <w:kern w:val="0"/>
                <w:szCs w:val="21"/>
                <w:highlight w:val="none"/>
              </w:rPr>
              <w:t>投标人</w:t>
            </w:r>
          </w:p>
        </w:tc>
        <w:tc>
          <w:tcPr>
            <w:tcW w:w="768" w:type="dxa"/>
            <w:vMerge w:val="restart"/>
            <w:tcBorders>
              <w:left w:val="single" w:color="auto" w:sz="4" w:space="0"/>
              <w:bottom w:val="single" w:color="auto" w:sz="4" w:space="0"/>
              <w:right w:val="single" w:color="auto" w:sz="4" w:space="0"/>
            </w:tcBorders>
            <w:vAlign w:val="center"/>
          </w:tcPr>
          <w:p w14:paraId="44265B77">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w:t>
            </w:r>
          </w:p>
          <w:p w14:paraId="0ED13FC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w:t>
            </w:r>
          </w:p>
        </w:tc>
        <w:tc>
          <w:tcPr>
            <w:tcW w:w="4215" w:type="dxa"/>
            <w:gridSpan w:val="11"/>
            <w:tcBorders>
              <w:left w:val="nil"/>
              <w:bottom w:val="single" w:color="auto" w:sz="4" w:space="0"/>
              <w:right w:val="single" w:color="auto" w:sz="4" w:space="0"/>
            </w:tcBorders>
            <w:vAlign w:val="center"/>
          </w:tcPr>
          <w:p w14:paraId="3CFF0BF9">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  委  计  分</w:t>
            </w:r>
          </w:p>
        </w:tc>
        <w:tc>
          <w:tcPr>
            <w:tcW w:w="686" w:type="dxa"/>
            <w:vMerge w:val="restart"/>
            <w:tcBorders>
              <w:left w:val="single" w:color="auto" w:sz="4" w:space="0"/>
              <w:right w:val="single" w:color="auto" w:sz="4" w:space="0"/>
            </w:tcBorders>
            <w:vAlign w:val="center"/>
          </w:tcPr>
          <w:p w14:paraId="637E5898">
            <w:pPr>
              <w:widowControl/>
              <w:rPr>
                <w:rFonts w:hint="eastAsia" w:ascii="宋体" w:hAnsi="宋体" w:eastAsia="宋体" w:cs="宋体"/>
                <w:color w:val="auto"/>
                <w:kern w:val="0"/>
                <w:szCs w:val="21"/>
                <w:highlight w:val="none"/>
              </w:rPr>
            </w:pPr>
            <w:r>
              <w:rPr>
                <w:rFonts w:hint="eastAsia" w:ascii="宋体" w:hAnsi="宋体" w:eastAsia="宋体" w:cs="宋体"/>
                <w:color w:val="auto"/>
                <w:kern w:val="0"/>
                <w:sz w:val="22"/>
                <w:szCs w:val="20"/>
                <w:highlight w:val="none"/>
              </w:rPr>
              <w:t>平均得分</w:t>
            </w:r>
          </w:p>
        </w:tc>
        <w:tc>
          <w:tcPr>
            <w:tcW w:w="1033" w:type="dxa"/>
            <w:vMerge w:val="restart"/>
            <w:tcBorders>
              <w:left w:val="single" w:color="auto" w:sz="4" w:space="0"/>
              <w:right w:val="single" w:color="auto" w:sz="4" w:space="0"/>
            </w:tcBorders>
            <w:vAlign w:val="center"/>
          </w:tcPr>
          <w:p w14:paraId="7E31DC5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最终</w:t>
            </w:r>
            <w:r>
              <w:rPr>
                <w:rFonts w:hint="eastAsia" w:ascii="宋体" w:hAnsi="宋体" w:eastAsia="宋体" w:cs="宋体"/>
                <w:color w:val="auto"/>
                <w:kern w:val="0"/>
                <w:szCs w:val="21"/>
                <w:highlight w:val="none"/>
              </w:rPr>
              <w:t>得分</w:t>
            </w:r>
          </w:p>
        </w:tc>
        <w:tc>
          <w:tcPr>
            <w:tcW w:w="956" w:type="dxa"/>
            <w:vMerge w:val="restart"/>
            <w:tcBorders>
              <w:left w:val="single" w:color="auto" w:sz="4" w:space="0"/>
              <w:right w:val="single" w:color="auto" w:sz="4" w:space="0"/>
            </w:tcBorders>
            <w:vAlign w:val="center"/>
          </w:tcPr>
          <w:p w14:paraId="5755AEB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总分</w:t>
            </w:r>
          </w:p>
        </w:tc>
        <w:tc>
          <w:tcPr>
            <w:tcW w:w="712" w:type="dxa"/>
            <w:vMerge w:val="restart"/>
            <w:tcBorders>
              <w:left w:val="single" w:color="auto" w:sz="4" w:space="0"/>
            </w:tcBorders>
            <w:vAlign w:val="center"/>
          </w:tcPr>
          <w:p w14:paraId="7582530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排序</w:t>
            </w:r>
          </w:p>
        </w:tc>
      </w:tr>
      <w:tr w14:paraId="4D87BBA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1" w:hRule="atLeast"/>
        </w:trPr>
        <w:tc>
          <w:tcPr>
            <w:tcW w:w="1080" w:type="dxa"/>
            <w:vMerge w:val="continue"/>
            <w:tcBorders>
              <w:top w:val="nil"/>
              <w:bottom w:val="single" w:color="auto" w:sz="4" w:space="0"/>
              <w:right w:val="single" w:color="auto" w:sz="4" w:space="0"/>
            </w:tcBorders>
            <w:vAlign w:val="center"/>
          </w:tcPr>
          <w:p w14:paraId="478BF7C8">
            <w:pPr>
              <w:widowControl/>
              <w:jc w:val="left"/>
              <w:rPr>
                <w:rFonts w:hint="eastAsia" w:ascii="宋体" w:hAnsi="宋体" w:eastAsia="宋体" w:cs="宋体"/>
                <w:b/>
                <w:bCs/>
                <w:color w:val="auto"/>
                <w:kern w:val="0"/>
                <w:szCs w:val="21"/>
                <w:highlight w:val="none"/>
              </w:rPr>
            </w:pPr>
          </w:p>
        </w:tc>
        <w:tc>
          <w:tcPr>
            <w:tcW w:w="768" w:type="dxa"/>
            <w:vMerge w:val="continue"/>
            <w:tcBorders>
              <w:top w:val="nil"/>
              <w:left w:val="single" w:color="auto" w:sz="4" w:space="0"/>
              <w:bottom w:val="single" w:color="auto" w:sz="4" w:space="0"/>
              <w:right w:val="single" w:color="auto" w:sz="4" w:space="0"/>
            </w:tcBorders>
            <w:vAlign w:val="center"/>
          </w:tcPr>
          <w:p w14:paraId="6E3D9507">
            <w:pPr>
              <w:widowControl/>
              <w:jc w:val="left"/>
              <w:rPr>
                <w:rFonts w:hint="eastAsia" w:ascii="宋体" w:hAnsi="宋体" w:eastAsia="宋体" w:cs="宋体"/>
                <w:color w:val="auto"/>
                <w:kern w:val="0"/>
                <w:szCs w:val="21"/>
                <w:highlight w:val="none"/>
              </w:rPr>
            </w:pPr>
          </w:p>
        </w:tc>
        <w:tc>
          <w:tcPr>
            <w:tcW w:w="374" w:type="dxa"/>
            <w:tcBorders>
              <w:top w:val="nil"/>
              <w:left w:val="nil"/>
              <w:bottom w:val="single" w:color="auto" w:sz="4" w:space="0"/>
              <w:right w:val="single" w:color="auto" w:sz="4" w:space="0"/>
            </w:tcBorders>
            <w:vAlign w:val="center"/>
          </w:tcPr>
          <w:p w14:paraId="0D775BF5">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1</w:t>
            </w:r>
          </w:p>
        </w:tc>
        <w:tc>
          <w:tcPr>
            <w:tcW w:w="374" w:type="dxa"/>
            <w:tcBorders>
              <w:top w:val="nil"/>
              <w:left w:val="single" w:color="auto" w:sz="4" w:space="0"/>
              <w:bottom w:val="single" w:color="auto" w:sz="4" w:space="0"/>
              <w:right w:val="single" w:color="auto" w:sz="4" w:space="0"/>
            </w:tcBorders>
            <w:vAlign w:val="center"/>
          </w:tcPr>
          <w:p w14:paraId="26A9689C">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2</w:t>
            </w:r>
          </w:p>
        </w:tc>
        <w:tc>
          <w:tcPr>
            <w:tcW w:w="374" w:type="dxa"/>
            <w:tcBorders>
              <w:top w:val="nil"/>
              <w:left w:val="single" w:color="auto" w:sz="4" w:space="0"/>
              <w:bottom w:val="single" w:color="auto" w:sz="4" w:space="0"/>
              <w:right w:val="single" w:color="auto" w:sz="4" w:space="0"/>
            </w:tcBorders>
            <w:vAlign w:val="center"/>
          </w:tcPr>
          <w:p w14:paraId="68CA144F">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3</w:t>
            </w:r>
          </w:p>
        </w:tc>
        <w:tc>
          <w:tcPr>
            <w:tcW w:w="374" w:type="dxa"/>
            <w:tcBorders>
              <w:top w:val="nil"/>
              <w:left w:val="single" w:color="auto" w:sz="4" w:space="0"/>
              <w:bottom w:val="single" w:color="auto" w:sz="4" w:space="0"/>
              <w:right w:val="single" w:color="auto" w:sz="4" w:space="0"/>
            </w:tcBorders>
            <w:vAlign w:val="center"/>
          </w:tcPr>
          <w:p w14:paraId="2CFE83CA">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4</w:t>
            </w:r>
          </w:p>
        </w:tc>
        <w:tc>
          <w:tcPr>
            <w:tcW w:w="374" w:type="dxa"/>
            <w:tcBorders>
              <w:top w:val="nil"/>
              <w:left w:val="single" w:color="auto" w:sz="4" w:space="0"/>
              <w:bottom w:val="single" w:color="auto" w:sz="4" w:space="0"/>
              <w:right w:val="single" w:color="auto" w:sz="4" w:space="0"/>
            </w:tcBorders>
            <w:vAlign w:val="center"/>
          </w:tcPr>
          <w:p w14:paraId="4DB64066">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5</w:t>
            </w:r>
          </w:p>
        </w:tc>
        <w:tc>
          <w:tcPr>
            <w:tcW w:w="374" w:type="dxa"/>
            <w:tcBorders>
              <w:top w:val="nil"/>
              <w:left w:val="single" w:color="auto" w:sz="4" w:space="0"/>
              <w:bottom w:val="single" w:color="auto" w:sz="4" w:space="0"/>
              <w:right w:val="single" w:color="auto" w:sz="4" w:space="0"/>
            </w:tcBorders>
            <w:vAlign w:val="center"/>
          </w:tcPr>
          <w:p w14:paraId="5A3CAE88">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6</w:t>
            </w:r>
          </w:p>
        </w:tc>
        <w:tc>
          <w:tcPr>
            <w:tcW w:w="374" w:type="dxa"/>
            <w:tcBorders>
              <w:top w:val="nil"/>
              <w:left w:val="single" w:color="auto" w:sz="4" w:space="0"/>
              <w:bottom w:val="single" w:color="auto" w:sz="4" w:space="0"/>
              <w:right w:val="single" w:color="auto" w:sz="4" w:space="0"/>
            </w:tcBorders>
            <w:vAlign w:val="center"/>
          </w:tcPr>
          <w:p w14:paraId="0D418156">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7</w:t>
            </w:r>
          </w:p>
        </w:tc>
        <w:tc>
          <w:tcPr>
            <w:tcW w:w="374" w:type="dxa"/>
            <w:tcBorders>
              <w:top w:val="nil"/>
              <w:left w:val="single" w:color="auto" w:sz="4" w:space="0"/>
              <w:bottom w:val="single" w:color="auto" w:sz="4" w:space="0"/>
              <w:right w:val="single" w:color="auto" w:sz="4" w:space="0"/>
            </w:tcBorders>
            <w:vAlign w:val="center"/>
          </w:tcPr>
          <w:p w14:paraId="00B8D539">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8</w:t>
            </w:r>
          </w:p>
        </w:tc>
        <w:tc>
          <w:tcPr>
            <w:tcW w:w="374" w:type="dxa"/>
            <w:tcBorders>
              <w:top w:val="nil"/>
              <w:left w:val="single" w:color="auto" w:sz="4" w:space="0"/>
              <w:bottom w:val="single" w:color="auto" w:sz="4" w:space="0"/>
              <w:right w:val="single" w:color="auto" w:sz="4" w:space="0"/>
            </w:tcBorders>
            <w:vAlign w:val="center"/>
          </w:tcPr>
          <w:p w14:paraId="3228311E">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9</w:t>
            </w:r>
          </w:p>
        </w:tc>
        <w:tc>
          <w:tcPr>
            <w:tcW w:w="374" w:type="dxa"/>
            <w:tcBorders>
              <w:top w:val="nil"/>
              <w:left w:val="single" w:color="auto" w:sz="4" w:space="0"/>
              <w:bottom w:val="single" w:color="auto" w:sz="4" w:space="0"/>
              <w:right w:val="single" w:color="auto" w:sz="4" w:space="0"/>
            </w:tcBorders>
            <w:vAlign w:val="center"/>
          </w:tcPr>
          <w:p w14:paraId="2FA7B9EB">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10</w:t>
            </w:r>
          </w:p>
        </w:tc>
        <w:tc>
          <w:tcPr>
            <w:tcW w:w="475" w:type="dxa"/>
            <w:tcBorders>
              <w:top w:val="nil"/>
              <w:left w:val="single" w:color="auto" w:sz="4" w:space="0"/>
              <w:bottom w:val="single" w:color="auto" w:sz="4" w:space="0"/>
              <w:right w:val="single" w:color="auto" w:sz="4" w:space="0"/>
            </w:tcBorders>
            <w:vAlign w:val="center"/>
          </w:tcPr>
          <w:p w14:paraId="657F21C2">
            <w:pPr>
              <w:widowControl/>
              <w:jc w:val="center"/>
              <w:rPr>
                <w:rFonts w:hint="eastAsia" w:ascii="宋体" w:hAnsi="宋体" w:eastAsia="宋体" w:cs="宋体"/>
                <w:color w:val="auto"/>
                <w:kern w:val="0"/>
                <w:sz w:val="15"/>
                <w:szCs w:val="11"/>
                <w:highlight w:val="none"/>
                <w:lang w:val="en-US" w:eastAsia="zh-CN"/>
              </w:rPr>
            </w:pPr>
            <w:r>
              <w:rPr>
                <w:rFonts w:hint="eastAsia" w:ascii="宋体" w:hAnsi="宋体" w:eastAsia="宋体" w:cs="宋体"/>
                <w:color w:val="auto"/>
                <w:kern w:val="0"/>
                <w:sz w:val="15"/>
                <w:szCs w:val="11"/>
                <w:highlight w:val="none"/>
                <w:lang w:val="en-US" w:eastAsia="zh-CN"/>
              </w:rPr>
              <w:t>...</w:t>
            </w:r>
          </w:p>
        </w:tc>
        <w:tc>
          <w:tcPr>
            <w:tcW w:w="686" w:type="dxa"/>
            <w:vMerge w:val="continue"/>
            <w:tcBorders>
              <w:left w:val="single" w:color="auto" w:sz="4" w:space="0"/>
              <w:right w:val="single" w:color="auto" w:sz="4" w:space="0"/>
            </w:tcBorders>
            <w:vAlign w:val="center"/>
          </w:tcPr>
          <w:p w14:paraId="4CBFBAF3">
            <w:pPr>
              <w:widowControl/>
              <w:jc w:val="left"/>
              <w:rPr>
                <w:rFonts w:hint="eastAsia" w:ascii="宋体" w:hAnsi="宋体" w:eastAsia="宋体" w:cs="宋体"/>
                <w:color w:val="auto"/>
                <w:kern w:val="0"/>
                <w:szCs w:val="21"/>
                <w:highlight w:val="none"/>
              </w:rPr>
            </w:pPr>
          </w:p>
        </w:tc>
        <w:tc>
          <w:tcPr>
            <w:tcW w:w="1033" w:type="dxa"/>
            <w:vMerge w:val="continue"/>
            <w:tcBorders>
              <w:left w:val="single" w:color="auto" w:sz="4" w:space="0"/>
              <w:bottom w:val="single" w:color="auto" w:sz="4" w:space="0"/>
              <w:right w:val="single" w:color="auto" w:sz="4" w:space="0"/>
            </w:tcBorders>
            <w:vAlign w:val="center"/>
          </w:tcPr>
          <w:p w14:paraId="4763AD22">
            <w:pPr>
              <w:widowControl/>
              <w:jc w:val="left"/>
              <w:rPr>
                <w:rFonts w:hint="eastAsia" w:ascii="宋体" w:hAnsi="宋体" w:eastAsia="宋体" w:cs="宋体"/>
                <w:color w:val="auto"/>
                <w:kern w:val="0"/>
                <w:szCs w:val="21"/>
                <w:highlight w:val="none"/>
              </w:rPr>
            </w:pPr>
          </w:p>
        </w:tc>
        <w:tc>
          <w:tcPr>
            <w:tcW w:w="956" w:type="dxa"/>
            <w:vMerge w:val="continue"/>
            <w:tcBorders>
              <w:left w:val="single" w:color="auto" w:sz="4" w:space="0"/>
              <w:bottom w:val="single" w:color="auto" w:sz="4" w:space="0"/>
              <w:right w:val="single" w:color="auto" w:sz="4" w:space="0"/>
            </w:tcBorders>
          </w:tcPr>
          <w:p w14:paraId="289F8411">
            <w:pPr>
              <w:widowControl/>
              <w:jc w:val="left"/>
              <w:rPr>
                <w:rFonts w:hint="eastAsia" w:ascii="宋体" w:hAnsi="宋体" w:eastAsia="宋体" w:cs="宋体"/>
                <w:color w:val="auto"/>
                <w:kern w:val="0"/>
                <w:szCs w:val="21"/>
                <w:highlight w:val="none"/>
              </w:rPr>
            </w:pPr>
          </w:p>
        </w:tc>
        <w:tc>
          <w:tcPr>
            <w:tcW w:w="712" w:type="dxa"/>
            <w:vMerge w:val="continue"/>
            <w:tcBorders>
              <w:left w:val="single" w:color="auto" w:sz="4" w:space="0"/>
              <w:bottom w:val="single" w:color="auto" w:sz="4" w:space="0"/>
            </w:tcBorders>
            <w:vAlign w:val="center"/>
          </w:tcPr>
          <w:p w14:paraId="1BF7E8E0">
            <w:pPr>
              <w:widowControl/>
              <w:jc w:val="left"/>
              <w:rPr>
                <w:rFonts w:hint="eastAsia" w:ascii="宋体" w:hAnsi="宋体" w:eastAsia="宋体" w:cs="宋体"/>
                <w:color w:val="auto"/>
                <w:kern w:val="0"/>
                <w:szCs w:val="21"/>
                <w:highlight w:val="none"/>
              </w:rPr>
            </w:pPr>
          </w:p>
        </w:tc>
      </w:tr>
      <w:tr w14:paraId="1CF79E3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1" w:hRule="atLeast"/>
        </w:trPr>
        <w:tc>
          <w:tcPr>
            <w:tcW w:w="1080" w:type="dxa"/>
            <w:vMerge w:val="restart"/>
            <w:tcBorders>
              <w:top w:val="nil"/>
              <w:bottom w:val="single" w:color="auto" w:sz="4" w:space="0"/>
              <w:right w:val="single" w:color="auto" w:sz="4" w:space="0"/>
            </w:tcBorders>
            <w:vAlign w:val="center"/>
          </w:tcPr>
          <w:p w14:paraId="4E0AC33C">
            <w:pPr>
              <w:widowControl/>
              <w:jc w:val="center"/>
              <w:rPr>
                <w:rFonts w:hint="eastAsia" w:ascii="宋体" w:hAnsi="宋体" w:eastAsia="宋体" w:cs="宋体"/>
                <w:b/>
                <w:bCs/>
                <w:color w:val="auto"/>
                <w:kern w:val="0"/>
                <w:sz w:val="24"/>
                <w:szCs w:val="24"/>
                <w:highlight w:val="none"/>
              </w:rPr>
            </w:pPr>
          </w:p>
        </w:tc>
        <w:tc>
          <w:tcPr>
            <w:tcW w:w="768" w:type="dxa"/>
            <w:tcBorders>
              <w:top w:val="nil"/>
              <w:left w:val="nil"/>
              <w:bottom w:val="single" w:color="auto" w:sz="4" w:space="0"/>
              <w:right w:val="single" w:color="auto" w:sz="4" w:space="0"/>
            </w:tcBorders>
            <w:vAlign w:val="center"/>
          </w:tcPr>
          <w:p w14:paraId="2FA184B7">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w:t>
            </w:r>
          </w:p>
          <w:p w14:paraId="66870878">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w:t>
            </w:r>
          </w:p>
        </w:tc>
        <w:tc>
          <w:tcPr>
            <w:tcW w:w="4901" w:type="dxa"/>
            <w:gridSpan w:val="12"/>
            <w:tcBorders>
              <w:top w:val="single" w:color="auto" w:sz="4" w:space="0"/>
              <w:left w:val="single" w:color="auto" w:sz="4" w:space="0"/>
              <w:bottom w:val="single" w:color="auto" w:sz="4" w:space="0"/>
              <w:right w:val="single" w:color="auto" w:sz="4" w:space="0"/>
            </w:tcBorders>
            <w:vAlign w:val="center"/>
          </w:tcPr>
          <w:p w14:paraId="38D6C6EE">
            <w:pPr>
              <w:widowControl/>
              <w:rPr>
                <w:rFonts w:hint="eastAsia" w:ascii="宋体" w:hAnsi="宋体" w:eastAsia="宋体" w:cs="宋体"/>
                <w:color w:val="auto"/>
                <w:kern w:val="0"/>
                <w:szCs w:val="21"/>
                <w:highlight w:val="none"/>
              </w:rPr>
            </w:pPr>
          </w:p>
        </w:tc>
        <w:tc>
          <w:tcPr>
            <w:tcW w:w="1033" w:type="dxa"/>
            <w:tcBorders>
              <w:top w:val="single" w:color="auto" w:sz="4" w:space="0"/>
              <w:left w:val="single" w:color="auto" w:sz="4" w:space="0"/>
              <w:bottom w:val="single" w:color="auto" w:sz="4" w:space="0"/>
              <w:right w:val="single" w:color="auto" w:sz="4" w:space="0"/>
            </w:tcBorders>
            <w:vAlign w:val="center"/>
          </w:tcPr>
          <w:p w14:paraId="6B26B47A">
            <w:pPr>
              <w:widowControl/>
              <w:jc w:val="center"/>
              <w:rPr>
                <w:rFonts w:hint="eastAsia" w:ascii="宋体" w:hAnsi="宋体" w:eastAsia="宋体" w:cs="宋体"/>
                <w:color w:val="auto"/>
                <w:kern w:val="0"/>
                <w:szCs w:val="21"/>
                <w:highlight w:val="none"/>
              </w:rPr>
            </w:pPr>
          </w:p>
        </w:tc>
        <w:tc>
          <w:tcPr>
            <w:tcW w:w="956" w:type="dxa"/>
            <w:vMerge w:val="restart"/>
            <w:tcBorders>
              <w:top w:val="single" w:color="auto" w:sz="4" w:space="0"/>
              <w:left w:val="single" w:color="auto" w:sz="4" w:space="0"/>
              <w:right w:val="single" w:color="auto" w:sz="4" w:space="0"/>
            </w:tcBorders>
          </w:tcPr>
          <w:p w14:paraId="4C31CD80">
            <w:pPr>
              <w:widowControl/>
              <w:jc w:val="left"/>
              <w:rPr>
                <w:rFonts w:hint="eastAsia" w:ascii="宋体" w:hAnsi="宋体" w:eastAsia="宋体" w:cs="宋体"/>
                <w:color w:val="auto"/>
                <w:kern w:val="0"/>
                <w:szCs w:val="21"/>
                <w:highlight w:val="none"/>
              </w:rPr>
            </w:pPr>
          </w:p>
        </w:tc>
        <w:tc>
          <w:tcPr>
            <w:tcW w:w="712" w:type="dxa"/>
            <w:vMerge w:val="restart"/>
            <w:tcBorders>
              <w:top w:val="single" w:color="auto" w:sz="4" w:space="0"/>
              <w:left w:val="single" w:color="auto" w:sz="4" w:space="0"/>
            </w:tcBorders>
            <w:vAlign w:val="center"/>
          </w:tcPr>
          <w:p w14:paraId="7060463E">
            <w:pPr>
              <w:widowControl/>
              <w:jc w:val="center"/>
              <w:rPr>
                <w:rFonts w:hint="eastAsia" w:ascii="宋体" w:hAnsi="宋体" w:eastAsia="宋体" w:cs="宋体"/>
                <w:color w:val="auto"/>
                <w:kern w:val="0"/>
                <w:szCs w:val="21"/>
                <w:highlight w:val="none"/>
              </w:rPr>
            </w:pPr>
          </w:p>
        </w:tc>
      </w:tr>
      <w:tr w14:paraId="48B49D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1" w:hRule="atLeast"/>
        </w:trPr>
        <w:tc>
          <w:tcPr>
            <w:tcW w:w="1080" w:type="dxa"/>
            <w:vMerge w:val="continue"/>
            <w:tcBorders>
              <w:top w:val="nil"/>
              <w:bottom w:val="single" w:color="auto" w:sz="4" w:space="0"/>
              <w:right w:val="single" w:color="auto" w:sz="4" w:space="0"/>
            </w:tcBorders>
            <w:vAlign w:val="center"/>
          </w:tcPr>
          <w:p w14:paraId="2BFD84AE">
            <w:pPr>
              <w:widowControl/>
              <w:jc w:val="left"/>
              <w:rPr>
                <w:rFonts w:hint="eastAsia" w:ascii="宋体" w:hAnsi="宋体" w:eastAsia="宋体" w:cs="宋体"/>
                <w:b/>
                <w:bCs/>
                <w:color w:val="auto"/>
                <w:kern w:val="0"/>
                <w:sz w:val="24"/>
                <w:szCs w:val="24"/>
                <w:highlight w:val="none"/>
              </w:rPr>
            </w:pPr>
          </w:p>
        </w:tc>
        <w:tc>
          <w:tcPr>
            <w:tcW w:w="768" w:type="dxa"/>
            <w:tcBorders>
              <w:top w:val="nil"/>
              <w:left w:val="nil"/>
              <w:bottom w:val="single" w:color="auto" w:sz="4" w:space="0"/>
              <w:right w:val="single" w:color="auto" w:sz="4" w:space="0"/>
            </w:tcBorders>
            <w:vAlign w:val="center"/>
          </w:tcPr>
          <w:p w14:paraId="631790C2">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商务</w:t>
            </w:r>
          </w:p>
          <w:p w14:paraId="134E88C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w:t>
            </w:r>
          </w:p>
        </w:tc>
        <w:tc>
          <w:tcPr>
            <w:tcW w:w="4901" w:type="dxa"/>
            <w:gridSpan w:val="12"/>
            <w:tcBorders>
              <w:top w:val="single" w:color="auto" w:sz="4" w:space="0"/>
              <w:left w:val="nil"/>
              <w:bottom w:val="single" w:color="auto" w:sz="4" w:space="0"/>
              <w:right w:val="single" w:color="auto" w:sz="4" w:space="0"/>
            </w:tcBorders>
            <w:vAlign w:val="center"/>
          </w:tcPr>
          <w:p w14:paraId="078FDFAD">
            <w:pPr>
              <w:widowControl/>
              <w:rPr>
                <w:rFonts w:hint="eastAsia" w:ascii="宋体" w:hAnsi="宋体" w:eastAsia="宋体" w:cs="宋体"/>
                <w:color w:val="auto"/>
                <w:kern w:val="0"/>
                <w:szCs w:val="21"/>
                <w:highlight w:val="none"/>
              </w:rPr>
            </w:pPr>
          </w:p>
        </w:tc>
        <w:tc>
          <w:tcPr>
            <w:tcW w:w="1033" w:type="dxa"/>
            <w:tcBorders>
              <w:top w:val="single" w:color="auto" w:sz="4" w:space="0"/>
              <w:left w:val="nil"/>
              <w:bottom w:val="single" w:color="auto" w:sz="4" w:space="0"/>
              <w:right w:val="single" w:color="auto" w:sz="4" w:space="0"/>
            </w:tcBorders>
            <w:vAlign w:val="center"/>
          </w:tcPr>
          <w:p w14:paraId="1025AB09">
            <w:pPr>
              <w:widowControl/>
              <w:jc w:val="center"/>
              <w:rPr>
                <w:rFonts w:hint="eastAsia" w:ascii="宋体" w:hAnsi="宋体" w:eastAsia="宋体" w:cs="宋体"/>
                <w:color w:val="auto"/>
                <w:kern w:val="0"/>
                <w:szCs w:val="21"/>
                <w:highlight w:val="none"/>
              </w:rPr>
            </w:pPr>
          </w:p>
        </w:tc>
        <w:tc>
          <w:tcPr>
            <w:tcW w:w="956" w:type="dxa"/>
            <w:vMerge w:val="continue"/>
            <w:tcBorders>
              <w:left w:val="single" w:color="auto" w:sz="4" w:space="0"/>
              <w:right w:val="single" w:color="auto" w:sz="4" w:space="0"/>
            </w:tcBorders>
            <w:vAlign w:val="center"/>
          </w:tcPr>
          <w:p w14:paraId="066531D5">
            <w:pPr>
              <w:widowControl/>
              <w:jc w:val="left"/>
              <w:rPr>
                <w:rFonts w:hint="eastAsia" w:ascii="宋体" w:hAnsi="宋体" w:eastAsia="宋体" w:cs="宋体"/>
                <w:color w:val="auto"/>
                <w:kern w:val="0"/>
                <w:szCs w:val="21"/>
                <w:highlight w:val="none"/>
              </w:rPr>
            </w:pPr>
          </w:p>
        </w:tc>
        <w:tc>
          <w:tcPr>
            <w:tcW w:w="712" w:type="dxa"/>
            <w:vMerge w:val="continue"/>
            <w:tcBorders>
              <w:left w:val="single" w:color="auto" w:sz="4" w:space="0"/>
            </w:tcBorders>
            <w:vAlign w:val="center"/>
          </w:tcPr>
          <w:p w14:paraId="1DF6A10E">
            <w:pPr>
              <w:widowControl/>
              <w:jc w:val="left"/>
              <w:rPr>
                <w:rFonts w:hint="eastAsia" w:ascii="宋体" w:hAnsi="宋体" w:eastAsia="宋体" w:cs="宋体"/>
                <w:color w:val="auto"/>
                <w:kern w:val="0"/>
                <w:szCs w:val="21"/>
                <w:highlight w:val="none"/>
              </w:rPr>
            </w:pPr>
          </w:p>
        </w:tc>
      </w:tr>
      <w:tr w14:paraId="5784593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1080" w:type="dxa"/>
            <w:vMerge w:val="continue"/>
            <w:tcBorders>
              <w:top w:val="nil"/>
              <w:bottom w:val="single" w:color="auto" w:sz="4" w:space="0"/>
              <w:right w:val="single" w:color="auto" w:sz="4" w:space="0"/>
            </w:tcBorders>
            <w:vAlign w:val="center"/>
          </w:tcPr>
          <w:p w14:paraId="204C1E2C">
            <w:pPr>
              <w:widowControl/>
              <w:jc w:val="left"/>
              <w:rPr>
                <w:rFonts w:hint="eastAsia" w:ascii="宋体" w:hAnsi="宋体" w:eastAsia="宋体" w:cs="宋体"/>
                <w:b/>
                <w:bCs/>
                <w:color w:val="auto"/>
                <w:kern w:val="0"/>
                <w:sz w:val="24"/>
                <w:szCs w:val="24"/>
                <w:highlight w:val="none"/>
              </w:rPr>
            </w:pPr>
          </w:p>
        </w:tc>
        <w:tc>
          <w:tcPr>
            <w:tcW w:w="768" w:type="dxa"/>
            <w:tcBorders>
              <w:top w:val="nil"/>
              <w:left w:val="nil"/>
              <w:bottom w:val="single" w:color="auto" w:sz="4" w:space="0"/>
              <w:right w:val="single" w:color="auto" w:sz="4" w:space="0"/>
            </w:tcBorders>
            <w:vAlign w:val="center"/>
          </w:tcPr>
          <w:p w14:paraId="07A8A2A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技术</w:t>
            </w:r>
          </w:p>
          <w:p w14:paraId="7D4A50D6">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w:t>
            </w:r>
          </w:p>
        </w:tc>
        <w:tc>
          <w:tcPr>
            <w:tcW w:w="374" w:type="dxa"/>
            <w:tcBorders>
              <w:top w:val="nil"/>
              <w:left w:val="nil"/>
              <w:bottom w:val="single" w:color="auto" w:sz="4" w:space="0"/>
              <w:right w:val="single" w:color="auto" w:sz="4" w:space="0"/>
            </w:tcBorders>
            <w:vAlign w:val="center"/>
          </w:tcPr>
          <w:p w14:paraId="4E06F14C">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5B8D15CB">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3E378E53">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186F9298">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20184BB6">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52544CD7">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06DD8EB5">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4FC4C2C4">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102C47F8">
            <w:pPr>
              <w:widowControl/>
              <w:rPr>
                <w:rFonts w:hint="eastAsia" w:ascii="宋体" w:hAnsi="宋体" w:eastAsia="宋体" w:cs="宋体"/>
                <w:color w:val="auto"/>
                <w:kern w:val="0"/>
                <w:szCs w:val="21"/>
                <w:highlight w:val="none"/>
              </w:rPr>
            </w:pPr>
          </w:p>
        </w:tc>
        <w:tc>
          <w:tcPr>
            <w:tcW w:w="374" w:type="dxa"/>
            <w:tcBorders>
              <w:top w:val="nil"/>
              <w:left w:val="single" w:color="auto" w:sz="4" w:space="0"/>
              <w:bottom w:val="single" w:color="auto" w:sz="4" w:space="0"/>
              <w:right w:val="single" w:color="auto" w:sz="4" w:space="0"/>
            </w:tcBorders>
            <w:vAlign w:val="center"/>
          </w:tcPr>
          <w:p w14:paraId="13511A82">
            <w:pPr>
              <w:widowControl/>
              <w:rPr>
                <w:rFonts w:hint="eastAsia" w:ascii="宋体" w:hAnsi="宋体" w:eastAsia="宋体" w:cs="宋体"/>
                <w:color w:val="auto"/>
                <w:kern w:val="0"/>
                <w:szCs w:val="21"/>
                <w:highlight w:val="none"/>
              </w:rPr>
            </w:pPr>
          </w:p>
        </w:tc>
        <w:tc>
          <w:tcPr>
            <w:tcW w:w="475" w:type="dxa"/>
            <w:tcBorders>
              <w:top w:val="nil"/>
              <w:left w:val="single" w:color="auto" w:sz="4" w:space="0"/>
              <w:bottom w:val="single" w:color="auto" w:sz="4" w:space="0"/>
              <w:right w:val="single" w:color="auto" w:sz="4" w:space="0"/>
            </w:tcBorders>
            <w:vAlign w:val="center"/>
          </w:tcPr>
          <w:p w14:paraId="601E4886">
            <w:pPr>
              <w:widowControl/>
              <w:rPr>
                <w:rFonts w:hint="eastAsia" w:ascii="宋体" w:hAnsi="宋体" w:eastAsia="宋体" w:cs="宋体"/>
                <w:color w:val="auto"/>
                <w:kern w:val="0"/>
                <w:szCs w:val="21"/>
                <w:highlight w:val="none"/>
              </w:rPr>
            </w:pPr>
          </w:p>
        </w:tc>
        <w:tc>
          <w:tcPr>
            <w:tcW w:w="686" w:type="dxa"/>
            <w:tcBorders>
              <w:top w:val="nil"/>
              <w:left w:val="single" w:color="auto" w:sz="4" w:space="0"/>
              <w:bottom w:val="single" w:color="auto" w:sz="4" w:space="0"/>
              <w:right w:val="single" w:color="auto" w:sz="4" w:space="0"/>
            </w:tcBorders>
            <w:vAlign w:val="center"/>
          </w:tcPr>
          <w:p w14:paraId="0D73603F">
            <w:pPr>
              <w:widowControl/>
              <w:rPr>
                <w:rFonts w:hint="eastAsia" w:ascii="宋体" w:hAnsi="宋体" w:eastAsia="宋体" w:cs="宋体"/>
                <w:color w:val="auto"/>
                <w:kern w:val="0"/>
                <w:szCs w:val="21"/>
                <w:highlight w:val="none"/>
              </w:rPr>
            </w:pPr>
          </w:p>
        </w:tc>
        <w:tc>
          <w:tcPr>
            <w:tcW w:w="1033" w:type="dxa"/>
            <w:tcBorders>
              <w:top w:val="nil"/>
              <w:left w:val="nil"/>
              <w:bottom w:val="single" w:color="auto" w:sz="4" w:space="0"/>
              <w:right w:val="single" w:color="auto" w:sz="4" w:space="0"/>
            </w:tcBorders>
            <w:vAlign w:val="center"/>
          </w:tcPr>
          <w:p w14:paraId="37D7C821">
            <w:pPr>
              <w:widowControl/>
              <w:jc w:val="center"/>
              <w:rPr>
                <w:rFonts w:hint="eastAsia" w:ascii="宋体" w:hAnsi="宋体" w:eastAsia="宋体" w:cs="宋体"/>
                <w:color w:val="auto"/>
                <w:kern w:val="0"/>
                <w:szCs w:val="21"/>
                <w:highlight w:val="none"/>
              </w:rPr>
            </w:pPr>
          </w:p>
        </w:tc>
        <w:tc>
          <w:tcPr>
            <w:tcW w:w="956" w:type="dxa"/>
            <w:vMerge w:val="continue"/>
            <w:tcBorders>
              <w:left w:val="single" w:color="auto" w:sz="4" w:space="0"/>
              <w:bottom w:val="single" w:color="auto" w:sz="4" w:space="0"/>
              <w:right w:val="single" w:color="auto" w:sz="4" w:space="0"/>
            </w:tcBorders>
            <w:vAlign w:val="center"/>
          </w:tcPr>
          <w:p w14:paraId="00791F5D">
            <w:pPr>
              <w:widowControl/>
              <w:jc w:val="left"/>
              <w:rPr>
                <w:rFonts w:hint="eastAsia" w:ascii="宋体" w:hAnsi="宋体" w:eastAsia="宋体" w:cs="宋体"/>
                <w:color w:val="auto"/>
                <w:kern w:val="0"/>
                <w:szCs w:val="21"/>
                <w:highlight w:val="none"/>
              </w:rPr>
            </w:pPr>
          </w:p>
        </w:tc>
        <w:tc>
          <w:tcPr>
            <w:tcW w:w="712" w:type="dxa"/>
            <w:vMerge w:val="continue"/>
            <w:tcBorders>
              <w:left w:val="single" w:color="auto" w:sz="4" w:space="0"/>
              <w:bottom w:val="single" w:color="auto" w:sz="4" w:space="0"/>
            </w:tcBorders>
            <w:vAlign w:val="center"/>
          </w:tcPr>
          <w:p w14:paraId="73CE9F5C">
            <w:pPr>
              <w:widowControl/>
              <w:jc w:val="left"/>
              <w:rPr>
                <w:rFonts w:hint="eastAsia" w:ascii="宋体" w:hAnsi="宋体" w:eastAsia="宋体" w:cs="宋体"/>
                <w:color w:val="auto"/>
                <w:kern w:val="0"/>
                <w:szCs w:val="21"/>
                <w:highlight w:val="none"/>
              </w:rPr>
            </w:pPr>
          </w:p>
        </w:tc>
      </w:tr>
      <w:tr w14:paraId="65D150D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1" w:hRule="atLeast"/>
        </w:trPr>
        <w:tc>
          <w:tcPr>
            <w:tcW w:w="1080" w:type="dxa"/>
            <w:vMerge w:val="restart"/>
            <w:tcBorders>
              <w:top w:val="single" w:color="auto" w:sz="4" w:space="0"/>
              <w:bottom w:val="single" w:color="auto" w:sz="4" w:space="0"/>
              <w:right w:val="single" w:color="auto" w:sz="4" w:space="0"/>
            </w:tcBorders>
            <w:vAlign w:val="center"/>
          </w:tcPr>
          <w:p w14:paraId="52792809">
            <w:pPr>
              <w:widowControl/>
              <w:jc w:val="center"/>
              <w:rPr>
                <w:rFonts w:hint="eastAsia" w:ascii="宋体" w:hAnsi="宋体" w:eastAsia="宋体" w:cs="宋体"/>
                <w:b/>
                <w:bCs/>
                <w:color w:val="auto"/>
                <w:kern w:val="0"/>
                <w:sz w:val="24"/>
                <w:szCs w:val="24"/>
                <w:highlight w:val="none"/>
              </w:rPr>
            </w:pPr>
          </w:p>
        </w:tc>
        <w:tc>
          <w:tcPr>
            <w:tcW w:w="768" w:type="dxa"/>
            <w:tcBorders>
              <w:top w:val="nil"/>
              <w:left w:val="nil"/>
              <w:bottom w:val="single" w:color="auto" w:sz="4" w:space="0"/>
              <w:right w:val="single" w:color="auto" w:sz="4" w:space="0"/>
            </w:tcBorders>
            <w:vAlign w:val="center"/>
          </w:tcPr>
          <w:p w14:paraId="083EE13D">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w:t>
            </w:r>
          </w:p>
          <w:p w14:paraId="70BDD013">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w:t>
            </w:r>
          </w:p>
        </w:tc>
        <w:tc>
          <w:tcPr>
            <w:tcW w:w="4901" w:type="dxa"/>
            <w:gridSpan w:val="12"/>
            <w:tcBorders>
              <w:top w:val="single" w:color="auto" w:sz="4" w:space="0"/>
              <w:left w:val="nil"/>
              <w:bottom w:val="single" w:color="auto" w:sz="4" w:space="0"/>
              <w:right w:val="single" w:color="000000" w:sz="4" w:space="0"/>
            </w:tcBorders>
          </w:tcPr>
          <w:p w14:paraId="514934EA">
            <w:pPr>
              <w:widowControl/>
              <w:jc w:val="left"/>
              <w:rPr>
                <w:rFonts w:hint="eastAsia" w:ascii="宋体" w:hAnsi="宋体" w:eastAsia="宋体" w:cs="宋体"/>
                <w:color w:val="auto"/>
                <w:kern w:val="0"/>
                <w:szCs w:val="21"/>
                <w:highlight w:val="none"/>
              </w:rPr>
            </w:pPr>
          </w:p>
        </w:tc>
        <w:tc>
          <w:tcPr>
            <w:tcW w:w="1033" w:type="dxa"/>
            <w:tcBorders>
              <w:top w:val="nil"/>
              <w:left w:val="nil"/>
              <w:bottom w:val="single" w:color="auto" w:sz="4" w:space="0"/>
              <w:right w:val="single" w:color="auto" w:sz="4" w:space="0"/>
            </w:tcBorders>
            <w:vAlign w:val="center"/>
          </w:tcPr>
          <w:p w14:paraId="6F3A0A50">
            <w:pPr>
              <w:widowControl/>
              <w:jc w:val="center"/>
              <w:rPr>
                <w:rFonts w:hint="eastAsia" w:ascii="宋体" w:hAnsi="宋体" w:eastAsia="宋体" w:cs="宋体"/>
                <w:color w:val="auto"/>
                <w:kern w:val="0"/>
                <w:szCs w:val="21"/>
                <w:highlight w:val="none"/>
              </w:rPr>
            </w:pPr>
          </w:p>
        </w:tc>
        <w:tc>
          <w:tcPr>
            <w:tcW w:w="956" w:type="dxa"/>
            <w:vMerge w:val="restart"/>
            <w:tcBorders>
              <w:top w:val="single" w:color="auto" w:sz="4" w:space="0"/>
              <w:left w:val="single" w:color="auto" w:sz="4" w:space="0"/>
              <w:right w:val="single" w:color="auto" w:sz="4" w:space="0"/>
            </w:tcBorders>
            <w:vAlign w:val="center"/>
          </w:tcPr>
          <w:p w14:paraId="06E7D4EA">
            <w:pPr>
              <w:widowControl/>
              <w:jc w:val="center"/>
              <w:rPr>
                <w:rFonts w:hint="eastAsia" w:ascii="宋体" w:hAnsi="宋体" w:eastAsia="宋体" w:cs="宋体"/>
                <w:color w:val="auto"/>
                <w:kern w:val="0"/>
                <w:szCs w:val="21"/>
                <w:highlight w:val="none"/>
              </w:rPr>
            </w:pPr>
          </w:p>
        </w:tc>
        <w:tc>
          <w:tcPr>
            <w:tcW w:w="712" w:type="dxa"/>
            <w:vMerge w:val="restart"/>
            <w:tcBorders>
              <w:top w:val="single" w:color="auto" w:sz="4" w:space="0"/>
              <w:left w:val="single" w:color="auto" w:sz="4" w:space="0"/>
            </w:tcBorders>
            <w:vAlign w:val="center"/>
          </w:tcPr>
          <w:p w14:paraId="049D5623">
            <w:pPr>
              <w:widowControl/>
              <w:jc w:val="center"/>
              <w:rPr>
                <w:rFonts w:hint="eastAsia" w:ascii="宋体" w:hAnsi="宋体" w:eastAsia="宋体" w:cs="宋体"/>
                <w:color w:val="auto"/>
                <w:kern w:val="0"/>
                <w:szCs w:val="21"/>
                <w:highlight w:val="none"/>
              </w:rPr>
            </w:pPr>
          </w:p>
        </w:tc>
      </w:tr>
      <w:tr w14:paraId="31F82FD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1" w:hRule="atLeast"/>
        </w:trPr>
        <w:tc>
          <w:tcPr>
            <w:tcW w:w="1080" w:type="dxa"/>
            <w:vMerge w:val="continue"/>
            <w:tcBorders>
              <w:top w:val="single" w:color="auto" w:sz="4" w:space="0"/>
              <w:bottom w:val="single" w:color="auto" w:sz="4" w:space="0"/>
              <w:right w:val="single" w:color="auto" w:sz="4" w:space="0"/>
            </w:tcBorders>
            <w:vAlign w:val="center"/>
          </w:tcPr>
          <w:p w14:paraId="2CA557DC">
            <w:pPr>
              <w:widowControl/>
              <w:jc w:val="left"/>
              <w:rPr>
                <w:rFonts w:hint="eastAsia" w:ascii="宋体" w:hAnsi="宋体" w:eastAsia="宋体" w:cs="宋体"/>
                <w:b/>
                <w:bCs/>
                <w:color w:val="auto"/>
                <w:kern w:val="0"/>
                <w:sz w:val="24"/>
                <w:szCs w:val="24"/>
                <w:highlight w:val="none"/>
              </w:rPr>
            </w:pPr>
          </w:p>
        </w:tc>
        <w:tc>
          <w:tcPr>
            <w:tcW w:w="768" w:type="dxa"/>
            <w:tcBorders>
              <w:top w:val="nil"/>
              <w:left w:val="nil"/>
              <w:bottom w:val="single" w:color="auto" w:sz="4" w:space="0"/>
              <w:right w:val="single" w:color="auto" w:sz="4" w:space="0"/>
            </w:tcBorders>
            <w:vAlign w:val="center"/>
          </w:tcPr>
          <w:p w14:paraId="54C8D499">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商务</w:t>
            </w:r>
          </w:p>
          <w:p w14:paraId="4F70156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w:t>
            </w:r>
          </w:p>
        </w:tc>
        <w:tc>
          <w:tcPr>
            <w:tcW w:w="4901" w:type="dxa"/>
            <w:gridSpan w:val="12"/>
            <w:tcBorders>
              <w:top w:val="single" w:color="auto" w:sz="4" w:space="0"/>
              <w:left w:val="nil"/>
              <w:bottom w:val="single" w:color="auto" w:sz="4" w:space="0"/>
              <w:right w:val="single" w:color="000000" w:sz="4" w:space="0"/>
            </w:tcBorders>
            <w:vAlign w:val="center"/>
          </w:tcPr>
          <w:p w14:paraId="791ECCB1">
            <w:pPr>
              <w:widowControl/>
              <w:rPr>
                <w:rFonts w:hint="eastAsia" w:ascii="宋体" w:hAnsi="宋体" w:eastAsia="宋体" w:cs="宋体"/>
                <w:color w:val="auto"/>
                <w:kern w:val="0"/>
                <w:szCs w:val="21"/>
                <w:highlight w:val="none"/>
              </w:rPr>
            </w:pPr>
          </w:p>
        </w:tc>
        <w:tc>
          <w:tcPr>
            <w:tcW w:w="1033" w:type="dxa"/>
            <w:tcBorders>
              <w:top w:val="nil"/>
              <w:left w:val="nil"/>
              <w:bottom w:val="single" w:color="auto" w:sz="4" w:space="0"/>
              <w:right w:val="single" w:color="auto" w:sz="4" w:space="0"/>
            </w:tcBorders>
            <w:vAlign w:val="center"/>
          </w:tcPr>
          <w:p w14:paraId="7DDBCDCB">
            <w:pPr>
              <w:widowControl/>
              <w:jc w:val="center"/>
              <w:rPr>
                <w:rFonts w:hint="eastAsia" w:ascii="宋体" w:hAnsi="宋体" w:eastAsia="宋体" w:cs="宋体"/>
                <w:color w:val="auto"/>
                <w:kern w:val="0"/>
                <w:szCs w:val="21"/>
                <w:highlight w:val="none"/>
              </w:rPr>
            </w:pPr>
          </w:p>
        </w:tc>
        <w:tc>
          <w:tcPr>
            <w:tcW w:w="956" w:type="dxa"/>
            <w:vMerge w:val="continue"/>
            <w:tcBorders>
              <w:left w:val="single" w:color="auto" w:sz="4" w:space="0"/>
              <w:right w:val="single" w:color="auto" w:sz="4" w:space="0"/>
            </w:tcBorders>
            <w:vAlign w:val="center"/>
          </w:tcPr>
          <w:p w14:paraId="0C7AA99B">
            <w:pPr>
              <w:widowControl/>
              <w:jc w:val="left"/>
              <w:rPr>
                <w:rFonts w:hint="eastAsia" w:ascii="宋体" w:hAnsi="宋体" w:eastAsia="宋体" w:cs="宋体"/>
                <w:color w:val="auto"/>
                <w:kern w:val="0"/>
                <w:szCs w:val="21"/>
                <w:highlight w:val="none"/>
              </w:rPr>
            </w:pPr>
          </w:p>
        </w:tc>
        <w:tc>
          <w:tcPr>
            <w:tcW w:w="712" w:type="dxa"/>
            <w:vMerge w:val="continue"/>
            <w:tcBorders>
              <w:left w:val="single" w:color="auto" w:sz="4" w:space="0"/>
            </w:tcBorders>
            <w:vAlign w:val="center"/>
          </w:tcPr>
          <w:p w14:paraId="4664975E">
            <w:pPr>
              <w:widowControl/>
              <w:jc w:val="left"/>
              <w:rPr>
                <w:rFonts w:hint="eastAsia" w:ascii="宋体" w:hAnsi="宋体" w:eastAsia="宋体" w:cs="宋体"/>
                <w:color w:val="auto"/>
                <w:kern w:val="0"/>
                <w:szCs w:val="21"/>
                <w:highlight w:val="none"/>
              </w:rPr>
            </w:pPr>
          </w:p>
        </w:tc>
      </w:tr>
      <w:tr w14:paraId="79BCEE2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1080" w:type="dxa"/>
            <w:vMerge w:val="continue"/>
            <w:tcBorders>
              <w:top w:val="single" w:color="auto" w:sz="4" w:space="0"/>
              <w:right w:val="single" w:color="auto" w:sz="4" w:space="0"/>
            </w:tcBorders>
            <w:vAlign w:val="center"/>
          </w:tcPr>
          <w:p w14:paraId="5535ED0D">
            <w:pPr>
              <w:widowControl/>
              <w:jc w:val="left"/>
              <w:rPr>
                <w:rFonts w:hint="eastAsia" w:ascii="宋体" w:hAnsi="宋体" w:eastAsia="宋体" w:cs="宋体"/>
                <w:b/>
                <w:bCs/>
                <w:color w:val="auto"/>
                <w:kern w:val="0"/>
                <w:sz w:val="24"/>
                <w:szCs w:val="24"/>
                <w:highlight w:val="none"/>
              </w:rPr>
            </w:pPr>
          </w:p>
        </w:tc>
        <w:tc>
          <w:tcPr>
            <w:tcW w:w="768" w:type="dxa"/>
            <w:tcBorders>
              <w:top w:val="nil"/>
              <w:left w:val="nil"/>
              <w:right w:val="single" w:color="auto" w:sz="4" w:space="0"/>
            </w:tcBorders>
            <w:vAlign w:val="center"/>
          </w:tcPr>
          <w:p w14:paraId="2EB0C8A6">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技术</w:t>
            </w:r>
          </w:p>
          <w:p w14:paraId="727C4AE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w:t>
            </w:r>
          </w:p>
        </w:tc>
        <w:tc>
          <w:tcPr>
            <w:tcW w:w="374" w:type="dxa"/>
            <w:tcBorders>
              <w:top w:val="nil"/>
              <w:left w:val="nil"/>
              <w:right w:val="single" w:color="auto" w:sz="4" w:space="0"/>
            </w:tcBorders>
            <w:vAlign w:val="center"/>
          </w:tcPr>
          <w:p w14:paraId="31FBFB33">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53873BD7">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6C5684FA">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7F6C3B04">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02076276">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36DCA178">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2F92D68D">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40D30A33">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1C4F3C01">
            <w:pPr>
              <w:widowControl/>
              <w:rPr>
                <w:rFonts w:hint="eastAsia" w:ascii="宋体" w:hAnsi="宋体" w:eastAsia="宋体" w:cs="宋体"/>
                <w:color w:val="auto"/>
                <w:kern w:val="0"/>
                <w:szCs w:val="21"/>
                <w:highlight w:val="none"/>
              </w:rPr>
            </w:pPr>
          </w:p>
        </w:tc>
        <w:tc>
          <w:tcPr>
            <w:tcW w:w="374" w:type="dxa"/>
            <w:tcBorders>
              <w:top w:val="nil"/>
              <w:left w:val="single" w:color="auto" w:sz="4" w:space="0"/>
              <w:right w:val="single" w:color="auto" w:sz="4" w:space="0"/>
            </w:tcBorders>
            <w:vAlign w:val="center"/>
          </w:tcPr>
          <w:p w14:paraId="6F28DCD8">
            <w:pPr>
              <w:widowControl/>
              <w:rPr>
                <w:rFonts w:hint="eastAsia" w:ascii="宋体" w:hAnsi="宋体" w:eastAsia="宋体" w:cs="宋体"/>
                <w:color w:val="auto"/>
                <w:kern w:val="0"/>
                <w:szCs w:val="21"/>
                <w:highlight w:val="none"/>
              </w:rPr>
            </w:pPr>
          </w:p>
        </w:tc>
        <w:tc>
          <w:tcPr>
            <w:tcW w:w="475" w:type="dxa"/>
            <w:tcBorders>
              <w:top w:val="nil"/>
              <w:left w:val="single" w:color="auto" w:sz="4" w:space="0"/>
              <w:right w:val="single" w:color="auto" w:sz="4" w:space="0"/>
            </w:tcBorders>
            <w:vAlign w:val="center"/>
          </w:tcPr>
          <w:p w14:paraId="5CC08C64">
            <w:pPr>
              <w:widowControl/>
              <w:rPr>
                <w:rFonts w:hint="eastAsia" w:ascii="宋体" w:hAnsi="宋体" w:eastAsia="宋体" w:cs="宋体"/>
                <w:color w:val="auto"/>
                <w:kern w:val="0"/>
                <w:szCs w:val="21"/>
                <w:highlight w:val="none"/>
              </w:rPr>
            </w:pPr>
          </w:p>
        </w:tc>
        <w:tc>
          <w:tcPr>
            <w:tcW w:w="686" w:type="dxa"/>
            <w:tcBorders>
              <w:top w:val="nil"/>
              <w:left w:val="single" w:color="auto" w:sz="4" w:space="0"/>
              <w:right w:val="single" w:color="auto" w:sz="4" w:space="0"/>
            </w:tcBorders>
            <w:vAlign w:val="center"/>
          </w:tcPr>
          <w:p w14:paraId="4338DA79">
            <w:pPr>
              <w:widowControl/>
              <w:rPr>
                <w:rFonts w:hint="eastAsia" w:ascii="宋体" w:hAnsi="宋体" w:eastAsia="宋体" w:cs="宋体"/>
                <w:color w:val="auto"/>
                <w:kern w:val="0"/>
                <w:szCs w:val="21"/>
                <w:highlight w:val="none"/>
              </w:rPr>
            </w:pPr>
          </w:p>
        </w:tc>
        <w:tc>
          <w:tcPr>
            <w:tcW w:w="1033" w:type="dxa"/>
            <w:tcBorders>
              <w:top w:val="nil"/>
              <w:left w:val="nil"/>
              <w:right w:val="single" w:color="auto" w:sz="4" w:space="0"/>
            </w:tcBorders>
            <w:vAlign w:val="center"/>
          </w:tcPr>
          <w:p w14:paraId="655ECDC4">
            <w:pPr>
              <w:widowControl/>
              <w:jc w:val="center"/>
              <w:rPr>
                <w:rFonts w:hint="eastAsia" w:ascii="宋体" w:hAnsi="宋体" w:eastAsia="宋体" w:cs="宋体"/>
                <w:color w:val="auto"/>
                <w:kern w:val="0"/>
                <w:szCs w:val="21"/>
                <w:highlight w:val="none"/>
              </w:rPr>
            </w:pPr>
          </w:p>
        </w:tc>
        <w:tc>
          <w:tcPr>
            <w:tcW w:w="956" w:type="dxa"/>
            <w:vMerge w:val="continue"/>
            <w:tcBorders>
              <w:left w:val="single" w:color="auto" w:sz="4" w:space="0"/>
              <w:right w:val="single" w:color="auto" w:sz="4" w:space="0"/>
            </w:tcBorders>
            <w:vAlign w:val="center"/>
          </w:tcPr>
          <w:p w14:paraId="60E62F37">
            <w:pPr>
              <w:widowControl/>
              <w:jc w:val="left"/>
              <w:rPr>
                <w:rFonts w:hint="eastAsia" w:ascii="宋体" w:hAnsi="宋体" w:eastAsia="宋体" w:cs="宋体"/>
                <w:color w:val="auto"/>
                <w:kern w:val="0"/>
                <w:szCs w:val="21"/>
                <w:highlight w:val="none"/>
              </w:rPr>
            </w:pPr>
          </w:p>
        </w:tc>
        <w:tc>
          <w:tcPr>
            <w:tcW w:w="712" w:type="dxa"/>
            <w:vMerge w:val="continue"/>
            <w:tcBorders>
              <w:left w:val="single" w:color="auto" w:sz="4" w:space="0"/>
            </w:tcBorders>
            <w:vAlign w:val="center"/>
          </w:tcPr>
          <w:p w14:paraId="51713207">
            <w:pPr>
              <w:widowControl/>
              <w:jc w:val="left"/>
              <w:rPr>
                <w:rFonts w:hint="eastAsia" w:ascii="宋体" w:hAnsi="宋体" w:eastAsia="宋体" w:cs="宋体"/>
                <w:color w:val="auto"/>
                <w:kern w:val="0"/>
                <w:szCs w:val="21"/>
                <w:highlight w:val="none"/>
              </w:rPr>
            </w:pPr>
          </w:p>
        </w:tc>
      </w:tr>
    </w:tbl>
    <w:p w14:paraId="0D8B8697">
      <w:pPr>
        <w:rPr>
          <w:rFonts w:hint="eastAsia" w:ascii="宋体" w:hAnsi="宋体" w:eastAsia="宋体" w:cs="宋体"/>
          <w:color w:val="auto"/>
          <w:highlight w:val="none"/>
        </w:rPr>
      </w:pPr>
    </w:p>
    <w:p w14:paraId="4CEEFCE9">
      <w:pPr>
        <w:rPr>
          <w:rFonts w:hint="eastAsia" w:ascii="宋体" w:hAnsi="宋体" w:eastAsia="宋体" w:cs="宋体"/>
          <w:color w:val="auto"/>
          <w:highlight w:val="none"/>
        </w:rPr>
      </w:pPr>
    </w:p>
    <w:p w14:paraId="180263E1">
      <w:pPr>
        <w:rPr>
          <w:rFonts w:hint="eastAsia" w:ascii="宋体" w:hAnsi="宋体" w:eastAsia="宋体" w:cs="宋体"/>
          <w:color w:val="auto"/>
          <w:highlight w:val="none"/>
        </w:rPr>
      </w:pPr>
    </w:p>
    <w:p w14:paraId="7F8BE8E5">
      <w:pPr>
        <w:rPr>
          <w:rFonts w:hint="eastAsia" w:ascii="宋体" w:hAnsi="宋体" w:eastAsia="宋体" w:cs="宋体"/>
          <w:color w:val="auto"/>
          <w:kern w:val="0"/>
          <w:highlight w:val="none"/>
        </w:rPr>
      </w:pPr>
      <w:r>
        <w:rPr>
          <w:rFonts w:hint="eastAsia" w:ascii="宋体" w:hAnsi="宋体" w:eastAsia="宋体" w:cs="宋体"/>
          <w:color w:val="auto"/>
          <w:highlight w:val="none"/>
        </w:rPr>
        <w:t>评标委员会</w:t>
      </w:r>
      <w:r>
        <w:rPr>
          <w:rFonts w:hint="eastAsia" w:ascii="宋体" w:hAnsi="宋体" w:eastAsia="宋体" w:cs="宋体"/>
          <w:color w:val="auto"/>
          <w:kern w:val="0"/>
          <w:highlight w:val="none"/>
        </w:rPr>
        <w:t>全体成员签字/日期：</w:t>
      </w:r>
    </w:p>
    <w:p w14:paraId="7D8DC055">
      <w:pPr>
        <w:pStyle w:val="19"/>
        <w:rPr>
          <w:rFonts w:hint="eastAsia" w:ascii="宋体" w:hAnsi="宋体" w:eastAsia="宋体" w:cs="宋体"/>
          <w:color w:val="auto"/>
          <w:kern w:val="0"/>
          <w:highlight w:val="none"/>
        </w:rPr>
      </w:pPr>
    </w:p>
    <w:p w14:paraId="0B59B50E">
      <w:pPr>
        <w:pStyle w:val="19"/>
        <w:tabs>
          <w:tab w:val="left" w:pos="5460"/>
        </w:tabs>
        <w:rPr>
          <w:rFonts w:hint="eastAsia" w:ascii="宋体" w:hAnsi="宋体" w:eastAsia="宋体" w:cs="宋体"/>
          <w:color w:val="auto"/>
          <w:kern w:val="0"/>
          <w:highlight w:val="none"/>
        </w:rPr>
      </w:pPr>
    </w:p>
    <w:p w14:paraId="4BADA075">
      <w:pPr>
        <w:ind w:right="-1413" w:rightChars="-673"/>
        <w:rPr>
          <w:rFonts w:hint="eastAsia" w:ascii="宋体" w:hAnsi="宋体" w:eastAsia="宋体" w:cs="宋体"/>
          <w:b/>
          <w:bCs/>
          <w:color w:val="auto"/>
          <w:sz w:val="30"/>
          <w:lang w:val="en-US" w:eastAsia="zh-CN"/>
        </w:rPr>
      </w:pPr>
      <w:r>
        <w:rPr>
          <w:rFonts w:hint="eastAsia" w:ascii="宋体" w:hAnsi="宋体" w:eastAsia="宋体" w:cs="宋体"/>
          <w:b/>
          <w:bCs/>
          <w:color w:val="auto"/>
          <w:sz w:val="30"/>
          <w:lang w:val="en-US" w:eastAsia="zh-CN"/>
        </w:rPr>
        <w:t>附件7</w:t>
      </w:r>
    </w:p>
    <w:p w14:paraId="7E7A5CEA">
      <w:pPr>
        <w:jc w:val="center"/>
        <w:rPr>
          <w:rFonts w:hint="eastAsia" w:ascii="宋体" w:hAnsi="宋体" w:eastAsia="宋体" w:cs="宋体"/>
          <w:b/>
          <w:color w:val="auto"/>
          <w:kern w:val="2"/>
          <w:sz w:val="30"/>
          <w:szCs w:val="24"/>
          <w:lang w:val="en-US" w:eastAsia="zh-CN" w:bidi="ar-SA"/>
        </w:rPr>
      </w:pPr>
      <w:r>
        <w:rPr>
          <w:rFonts w:hint="eastAsia" w:ascii="宋体" w:hAnsi="宋体" w:eastAsia="宋体" w:cs="宋体"/>
          <w:b/>
          <w:color w:val="auto"/>
          <w:kern w:val="2"/>
          <w:sz w:val="30"/>
          <w:szCs w:val="24"/>
          <w:lang w:val="en-US" w:eastAsia="zh-CN" w:bidi="ar-SA"/>
        </w:rPr>
        <w:t>中标候选人表</w:t>
      </w:r>
    </w:p>
    <w:p w14:paraId="74AB0B4C">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outlineLvl w:val="9"/>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项目名称</w:t>
      </w:r>
      <w:r>
        <w:rPr>
          <w:rFonts w:hint="eastAsia" w:ascii="宋体" w:hAnsi="宋体" w:eastAsia="宋体" w:cs="宋体"/>
          <w:b/>
          <w:color w:val="auto"/>
          <w:szCs w:val="21"/>
          <w:highlight w:val="none"/>
          <w:lang w:eastAsia="zh-CN"/>
        </w:rPr>
        <w:t>：</w:t>
      </w:r>
    </w:p>
    <w:tbl>
      <w:tblPr>
        <w:tblStyle w:val="38"/>
        <w:tblpPr w:leftFromText="180" w:rightFromText="180" w:vertAnchor="text" w:horzAnchor="page" w:tblpX="1481" w:tblpY="445"/>
        <w:tblOverlap w:val="never"/>
        <w:tblW w:w="9313"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52"/>
        <w:gridCol w:w="5816"/>
        <w:gridCol w:w="1799"/>
        <w:gridCol w:w="946"/>
      </w:tblGrid>
      <w:tr w14:paraId="06C939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61" w:hRule="atLeast"/>
        </w:trPr>
        <w:tc>
          <w:tcPr>
            <w:tcW w:w="752" w:type="dxa"/>
            <w:vAlign w:val="center"/>
          </w:tcPr>
          <w:p w14:paraId="469E9A6D">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序号</w:t>
            </w:r>
          </w:p>
        </w:tc>
        <w:tc>
          <w:tcPr>
            <w:tcW w:w="5816" w:type="dxa"/>
            <w:vAlign w:val="center"/>
          </w:tcPr>
          <w:p w14:paraId="6C6CBC7D">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投标人</w:t>
            </w:r>
          </w:p>
        </w:tc>
        <w:tc>
          <w:tcPr>
            <w:tcW w:w="1799" w:type="dxa"/>
            <w:tcBorders>
              <w:right w:val="single" w:color="auto" w:sz="4" w:space="0"/>
            </w:tcBorders>
            <w:vAlign w:val="center"/>
          </w:tcPr>
          <w:p w14:paraId="3D040966">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投标报价</w:t>
            </w:r>
          </w:p>
        </w:tc>
        <w:tc>
          <w:tcPr>
            <w:tcW w:w="946" w:type="dxa"/>
            <w:tcBorders>
              <w:left w:val="single" w:color="auto" w:sz="4" w:space="0"/>
            </w:tcBorders>
            <w:vAlign w:val="center"/>
          </w:tcPr>
          <w:p w14:paraId="57D84BED">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得分</w:t>
            </w:r>
          </w:p>
        </w:tc>
      </w:tr>
      <w:tr w14:paraId="4B2FE9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69" w:hRule="atLeast"/>
        </w:trPr>
        <w:tc>
          <w:tcPr>
            <w:tcW w:w="752" w:type="dxa"/>
            <w:tcBorders>
              <w:bottom w:val="single" w:color="auto" w:sz="4" w:space="0"/>
            </w:tcBorders>
            <w:vAlign w:val="center"/>
          </w:tcPr>
          <w:p w14:paraId="56DAD0F1">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p>
        </w:tc>
        <w:tc>
          <w:tcPr>
            <w:tcW w:w="5816" w:type="dxa"/>
            <w:vAlign w:val="center"/>
          </w:tcPr>
          <w:p w14:paraId="27A8DE04">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ascii="宋体" w:hAnsi="宋体" w:eastAsia="宋体" w:cs="宋体"/>
                <w:color w:val="auto"/>
                <w:szCs w:val="21"/>
                <w:highlight w:val="none"/>
              </w:rPr>
            </w:pPr>
          </w:p>
        </w:tc>
        <w:tc>
          <w:tcPr>
            <w:tcW w:w="1799" w:type="dxa"/>
            <w:tcBorders>
              <w:right w:val="single" w:color="auto" w:sz="4" w:space="0"/>
            </w:tcBorders>
            <w:vAlign w:val="center"/>
          </w:tcPr>
          <w:p w14:paraId="1904685C">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rPr>
            </w:pPr>
          </w:p>
        </w:tc>
        <w:tc>
          <w:tcPr>
            <w:tcW w:w="946" w:type="dxa"/>
            <w:tcBorders>
              <w:left w:val="single" w:color="auto" w:sz="4" w:space="0"/>
            </w:tcBorders>
            <w:vAlign w:val="center"/>
          </w:tcPr>
          <w:p w14:paraId="5B4834E4">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rPr>
            </w:pPr>
          </w:p>
        </w:tc>
      </w:tr>
      <w:tr w14:paraId="4C682A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752" w:type="dxa"/>
            <w:tcBorders>
              <w:top w:val="single" w:color="auto" w:sz="4" w:space="0"/>
              <w:bottom w:val="single" w:color="auto" w:sz="4" w:space="0"/>
            </w:tcBorders>
            <w:vAlign w:val="center"/>
          </w:tcPr>
          <w:p w14:paraId="5631F825">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p>
        </w:tc>
        <w:tc>
          <w:tcPr>
            <w:tcW w:w="5816" w:type="dxa"/>
            <w:vAlign w:val="center"/>
          </w:tcPr>
          <w:p w14:paraId="671D5EE7">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ascii="宋体" w:hAnsi="宋体" w:eastAsia="宋体" w:cs="宋体"/>
                <w:color w:val="auto"/>
                <w:highlight w:val="none"/>
              </w:rPr>
            </w:pPr>
          </w:p>
        </w:tc>
        <w:tc>
          <w:tcPr>
            <w:tcW w:w="1799" w:type="dxa"/>
            <w:tcBorders>
              <w:right w:val="single" w:color="auto" w:sz="4" w:space="0"/>
            </w:tcBorders>
            <w:vAlign w:val="center"/>
          </w:tcPr>
          <w:p w14:paraId="70AD278A">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rPr>
            </w:pPr>
          </w:p>
        </w:tc>
        <w:tc>
          <w:tcPr>
            <w:tcW w:w="946" w:type="dxa"/>
            <w:tcBorders>
              <w:left w:val="single" w:color="auto" w:sz="4" w:space="0"/>
            </w:tcBorders>
            <w:vAlign w:val="center"/>
          </w:tcPr>
          <w:p w14:paraId="4AB571A3">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rPr>
            </w:pPr>
          </w:p>
        </w:tc>
      </w:tr>
      <w:tr w14:paraId="4FCA9C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1" w:hRule="atLeast"/>
        </w:trPr>
        <w:tc>
          <w:tcPr>
            <w:tcW w:w="752" w:type="dxa"/>
            <w:tcBorders>
              <w:top w:val="single" w:color="auto" w:sz="4" w:space="0"/>
            </w:tcBorders>
            <w:vAlign w:val="center"/>
          </w:tcPr>
          <w:p w14:paraId="17CBAB3E">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w:t>
            </w:r>
          </w:p>
        </w:tc>
        <w:tc>
          <w:tcPr>
            <w:tcW w:w="5816" w:type="dxa"/>
            <w:vAlign w:val="center"/>
          </w:tcPr>
          <w:p w14:paraId="512F3199">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ascii="宋体" w:hAnsi="宋体" w:eastAsia="宋体" w:cs="宋体"/>
                <w:color w:val="auto"/>
                <w:szCs w:val="21"/>
                <w:highlight w:val="none"/>
              </w:rPr>
            </w:pPr>
          </w:p>
        </w:tc>
        <w:tc>
          <w:tcPr>
            <w:tcW w:w="1799" w:type="dxa"/>
            <w:tcBorders>
              <w:right w:val="single" w:color="auto" w:sz="4" w:space="0"/>
            </w:tcBorders>
            <w:vAlign w:val="center"/>
          </w:tcPr>
          <w:p w14:paraId="396CCFDE">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rPr>
            </w:pPr>
          </w:p>
        </w:tc>
        <w:tc>
          <w:tcPr>
            <w:tcW w:w="946" w:type="dxa"/>
            <w:tcBorders>
              <w:left w:val="single" w:color="auto" w:sz="4" w:space="0"/>
            </w:tcBorders>
            <w:vAlign w:val="center"/>
          </w:tcPr>
          <w:p w14:paraId="54BA986E">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szCs w:val="21"/>
                <w:highlight w:val="none"/>
              </w:rPr>
            </w:pPr>
          </w:p>
        </w:tc>
      </w:tr>
    </w:tbl>
    <w:p w14:paraId="7B329204">
      <w:pPr>
        <w:pStyle w:val="35"/>
        <w:rPr>
          <w:rFonts w:hint="eastAsia" w:ascii="宋体" w:hAnsi="宋体" w:eastAsia="宋体" w:cs="宋体"/>
          <w:color w:val="auto"/>
          <w:kern w:val="0"/>
          <w:highlight w:val="none"/>
        </w:rPr>
      </w:pPr>
    </w:p>
    <w:p w14:paraId="252C8C54">
      <w:pPr>
        <w:rPr>
          <w:rFonts w:hint="eastAsia" w:ascii="宋体" w:hAnsi="宋体" w:eastAsia="宋体" w:cs="宋体"/>
          <w:color w:val="auto"/>
          <w:highlight w:val="none"/>
        </w:rPr>
      </w:pPr>
    </w:p>
    <w:p w14:paraId="4C58F98A">
      <w:pPr>
        <w:ind w:firstLine="210" w:firstLineChars="100"/>
        <w:rPr>
          <w:rFonts w:hint="eastAsia" w:ascii="宋体" w:hAnsi="宋体" w:eastAsia="宋体" w:cs="宋体"/>
          <w:color w:val="auto"/>
          <w:kern w:val="0"/>
          <w:highlight w:val="none"/>
        </w:rPr>
      </w:pPr>
      <w:r>
        <w:rPr>
          <w:rFonts w:hint="eastAsia" w:ascii="宋体" w:hAnsi="宋体" w:eastAsia="宋体" w:cs="宋体"/>
          <w:color w:val="auto"/>
          <w:highlight w:val="none"/>
        </w:rPr>
        <w:t>评标委员会</w:t>
      </w:r>
      <w:r>
        <w:rPr>
          <w:rFonts w:hint="eastAsia" w:ascii="宋体" w:hAnsi="宋体" w:eastAsia="宋体" w:cs="宋体"/>
          <w:color w:val="auto"/>
          <w:kern w:val="0"/>
          <w:highlight w:val="none"/>
        </w:rPr>
        <w:t>全体成员签字/日期：</w:t>
      </w:r>
    </w:p>
    <w:p w14:paraId="4F2A7C44">
      <w:pPr>
        <w:pStyle w:val="19"/>
        <w:rPr>
          <w:rFonts w:hint="eastAsia" w:ascii="宋体" w:hAnsi="宋体" w:eastAsia="宋体" w:cs="宋体"/>
          <w:color w:val="auto"/>
          <w:lang w:val="en-US" w:eastAsia="zh-CN"/>
        </w:rPr>
      </w:pPr>
    </w:p>
    <w:sectPr>
      <w:headerReference r:id="rId5" w:type="default"/>
      <w:footerReference r:id="rId6" w:type="default"/>
      <w:pgSz w:w="11906" w:h="16838"/>
      <w:pgMar w:top="1304" w:right="1134" w:bottom="1304" w:left="1134" w:header="907" w:footer="73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70CE3FC-4FCA-4743-9788-F78B95FBA38A}"/>
  </w:font>
  <w:font w:name="黑体">
    <w:panose1 w:val="02010609060101010101"/>
    <w:charset w:val="86"/>
    <w:family w:val="auto"/>
    <w:pitch w:val="default"/>
    <w:sig w:usb0="800002BF" w:usb1="38CF7CFA" w:usb2="00000016" w:usb3="00000000" w:csb0="00040001" w:csb1="00000000"/>
    <w:embedRegular r:id="rId2" w:fontKey="{872CF2FB-EE0B-4EF6-9A3F-4C411F4D8D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embedRegular r:id="rId3" w:fontKey="{67428E6B-6860-407F-9951-448C4A46DE52}"/>
  </w:font>
  <w:font w:name="隶书">
    <w:panose1 w:val="02010509060101010101"/>
    <w:charset w:val="86"/>
    <w:family w:val="modern"/>
    <w:pitch w:val="default"/>
    <w:sig w:usb0="00000001" w:usb1="080E0000" w:usb2="00000000" w:usb3="00000000" w:csb0="00040000" w:csb1="00000000"/>
  </w:font>
  <w:font w:name="长城仿宋">
    <w:altName w:val="宋体"/>
    <w:panose1 w:val="00000000000000000000"/>
    <w:charset w:val="00"/>
    <w:family w:val="moder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embedRegular r:id="rId4" w:fontKey="{6B80C095-2221-467B-993B-2EFC5DE15ED2}"/>
  </w:font>
  <w:font w:name="WPSEMBED1">
    <w:panose1 w:val="02010609030101010101"/>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EA127">
    <w:pPr>
      <w:pStyle w:val="21"/>
      <w:tabs>
        <w:tab w:val="left" w:pos="3690"/>
        <w:tab w:val="left" w:pos="7605"/>
        <w:tab w:val="clear" w:pos="4153"/>
        <w:tab w:val="clear" w:pos="8306"/>
      </w:tabs>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1EE92A">
                          <w:pPr>
                            <w:pStyle w:val="2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B1EE92A">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AA901">
    <w:pPr>
      <w:pStyle w:val="21"/>
      <w:framePr w:wrap="around" w:vAnchor="text" w:hAnchor="margin" w:xAlign="center" w:y="1"/>
      <w:rPr>
        <w:rStyle w:val="42"/>
      </w:rPr>
    </w:pPr>
    <w:r>
      <w:fldChar w:fldCharType="begin"/>
    </w:r>
    <w:r>
      <w:rPr>
        <w:rStyle w:val="42"/>
      </w:rPr>
      <w:instrText xml:space="preserve">PAGE  </w:instrText>
    </w:r>
    <w:r>
      <w:fldChar w:fldCharType="separate"/>
    </w:r>
    <w:r>
      <w:rPr>
        <w:rStyle w:val="42"/>
      </w:rPr>
      <w:t>6</w:t>
    </w:r>
    <w:r>
      <w:fldChar w:fldCharType="end"/>
    </w:r>
  </w:p>
  <w:p w14:paraId="7E07D028">
    <w:pPr>
      <w:pStyle w:val="21"/>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35C9B">
    <w:pPr>
      <w:pStyle w:val="23"/>
      <w:pBdr>
        <w:bottom w:val="none" w:color="auto" w:sz="0" w:space="0"/>
      </w:pBdr>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0464E">
    <w:pPr>
      <w:ind w:right="-867" w:rightChars="-413"/>
      <w:rPr>
        <w:rFonts w:ascii="楷体_GB2312"/>
        <w:sz w:val="18"/>
        <w:szCs w:val="18"/>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EEF29E"/>
    <w:multiLevelType w:val="singleLevel"/>
    <w:tmpl w:val="46EEF29E"/>
    <w:lvl w:ilvl="0" w:tentative="0">
      <w:start w:val="15"/>
      <w:numFmt w:val="chineseCounting"/>
      <w:suff w:val="space"/>
      <w:lvlText w:val="第%1条"/>
      <w:lvlJc w:val="left"/>
      <w:rPr>
        <w:rFonts w:hint="eastAsia"/>
        <w:b/>
        <w:bCs/>
      </w:rPr>
    </w:lvl>
  </w:abstractNum>
  <w:abstractNum w:abstractNumId="1">
    <w:nsid w:val="5F0E37B2"/>
    <w:multiLevelType w:val="singleLevel"/>
    <w:tmpl w:val="5F0E37B2"/>
    <w:lvl w:ilvl="0" w:tentative="0">
      <w:start w:val="4"/>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2NTRmZmE1MWM5MzYxYTE2ZjAxNWJlYmVmNTliZDUifQ=="/>
    <w:docVar w:name="KSO_WPS_MARK_KEY" w:val="884633bf-20e8-4d41-ade8-4bd6a178ca1f"/>
  </w:docVars>
  <w:rsids>
    <w:rsidRoot w:val="00000000"/>
    <w:rsid w:val="00396CDA"/>
    <w:rsid w:val="008D5D3F"/>
    <w:rsid w:val="016A6FD7"/>
    <w:rsid w:val="016F45ED"/>
    <w:rsid w:val="01A56261"/>
    <w:rsid w:val="01EA3F44"/>
    <w:rsid w:val="020B07BA"/>
    <w:rsid w:val="025B2BF0"/>
    <w:rsid w:val="02BA4F8A"/>
    <w:rsid w:val="03550F8F"/>
    <w:rsid w:val="042A0CA0"/>
    <w:rsid w:val="0492532A"/>
    <w:rsid w:val="04BA3565"/>
    <w:rsid w:val="0560706F"/>
    <w:rsid w:val="0667328F"/>
    <w:rsid w:val="071754C4"/>
    <w:rsid w:val="074C3ACA"/>
    <w:rsid w:val="076B1CFB"/>
    <w:rsid w:val="07746E01"/>
    <w:rsid w:val="096E7880"/>
    <w:rsid w:val="09D21BBD"/>
    <w:rsid w:val="09F0108F"/>
    <w:rsid w:val="0A726EFC"/>
    <w:rsid w:val="0ACA6D38"/>
    <w:rsid w:val="0B1A381C"/>
    <w:rsid w:val="0B9E1EAF"/>
    <w:rsid w:val="0C050A5A"/>
    <w:rsid w:val="0CE02843"/>
    <w:rsid w:val="0DFA49A5"/>
    <w:rsid w:val="0E0F33E0"/>
    <w:rsid w:val="0E1632D7"/>
    <w:rsid w:val="0E43752E"/>
    <w:rsid w:val="0E637D2C"/>
    <w:rsid w:val="0EA05576"/>
    <w:rsid w:val="0EAE0EAC"/>
    <w:rsid w:val="0F086581"/>
    <w:rsid w:val="0F6A6693"/>
    <w:rsid w:val="104C20C4"/>
    <w:rsid w:val="1170063A"/>
    <w:rsid w:val="11A5318A"/>
    <w:rsid w:val="12505D75"/>
    <w:rsid w:val="12B66520"/>
    <w:rsid w:val="13230627"/>
    <w:rsid w:val="13C62D3E"/>
    <w:rsid w:val="13CC1D73"/>
    <w:rsid w:val="13F60B9E"/>
    <w:rsid w:val="14A53322"/>
    <w:rsid w:val="152F63E2"/>
    <w:rsid w:val="15B036FB"/>
    <w:rsid w:val="16467BBB"/>
    <w:rsid w:val="17253C74"/>
    <w:rsid w:val="17F43647"/>
    <w:rsid w:val="18301ACB"/>
    <w:rsid w:val="184C6FDF"/>
    <w:rsid w:val="187A3B4C"/>
    <w:rsid w:val="18A34E34"/>
    <w:rsid w:val="18AB3907"/>
    <w:rsid w:val="18BF1EA7"/>
    <w:rsid w:val="18E74E78"/>
    <w:rsid w:val="19EB2693"/>
    <w:rsid w:val="1A541902"/>
    <w:rsid w:val="1BDB6537"/>
    <w:rsid w:val="1CE83FBF"/>
    <w:rsid w:val="1D1722B1"/>
    <w:rsid w:val="1D637316"/>
    <w:rsid w:val="1D721295"/>
    <w:rsid w:val="1EF81C6E"/>
    <w:rsid w:val="1F3A2287"/>
    <w:rsid w:val="1F703EFB"/>
    <w:rsid w:val="1FE346CD"/>
    <w:rsid w:val="20142AD8"/>
    <w:rsid w:val="20ED4838"/>
    <w:rsid w:val="21617F9F"/>
    <w:rsid w:val="217F0960"/>
    <w:rsid w:val="21F4671D"/>
    <w:rsid w:val="22355315"/>
    <w:rsid w:val="22543660"/>
    <w:rsid w:val="22ED4D1B"/>
    <w:rsid w:val="240E0026"/>
    <w:rsid w:val="254B6F9C"/>
    <w:rsid w:val="26DD166E"/>
    <w:rsid w:val="283232E3"/>
    <w:rsid w:val="291B4ED7"/>
    <w:rsid w:val="299F78B6"/>
    <w:rsid w:val="2B1F6EEB"/>
    <w:rsid w:val="2C296E4C"/>
    <w:rsid w:val="2C6941AB"/>
    <w:rsid w:val="2CBE62A5"/>
    <w:rsid w:val="2CD914E9"/>
    <w:rsid w:val="2D306C96"/>
    <w:rsid w:val="2D754070"/>
    <w:rsid w:val="2DC071BC"/>
    <w:rsid w:val="2E254102"/>
    <w:rsid w:val="2F631386"/>
    <w:rsid w:val="2F6943BE"/>
    <w:rsid w:val="30052067"/>
    <w:rsid w:val="315A546A"/>
    <w:rsid w:val="31B815A2"/>
    <w:rsid w:val="31F960F0"/>
    <w:rsid w:val="33CD3982"/>
    <w:rsid w:val="34EC597A"/>
    <w:rsid w:val="35931B67"/>
    <w:rsid w:val="37753A04"/>
    <w:rsid w:val="37BA58BB"/>
    <w:rsid w:val="39780BE4"/>
    <w:rsid w:val="397A17A6"/>
    <w:rsid w:val="3A742699"/>
    <w:rsid w:val="3AEF413D"/>
    <w:rsid w:val="3B8C676B"/>
    <w:rsid w:val="3BED2703"/>
    <w:rsid w:val="3C046AB8"/>
    <w:rsid w:val="3C437775"/>
    <w:rsid w:val="3D452C28"/>
    <w:rsid w:val="3E135D25"/>
    <w:rsid w:val="3E491747"/>
    <w:rsid w:val="3E8D7A23"/>
    <w:rsid w:val="3EE53B65"/>
    <w:rsid w:val="3F9B2476"/>
    <w:rsid w:val="3FB157F6"/>
    <w:rsid w:val="3FB62E0C"/>
    <w:rsid w:val="4185125B"/>
    <w:rsid w:val="41870F04"/>
    <w:rsid w:val="41C821ED"/>
    <w:rsid w:val="422F6EA6"/>
    <w:rsid w:val="43390B21"/>
    <w:rsid w:val="43D23F8D"/>
    <w:rsid w:val="448C6831"/>
    <w:rsid w:val="45B002FD"/>
    <w:rsid w:val="45EA1A61"/>
    <w:rsid w:val="47190850"/>
    <w:rsid w:val="488B752C"/>
    <w:rsid w:val="48CB1236"/>
    <w:rsid w:val="48E302DA"/>
    <w:rsid w:val="491B7D5A"/>
    <w:rsid w:val="499248EA"/>
    <w:rsid w:val="49AF724A"/>
    <w:rsid w:val="4A9048EB"/>
    <w:rsid w:val="4B335C59"/>
    <w:rsid w:val="4BE156B5"/>
    <w:rsid w:val="4D8F4FDF"/>
    <w:rsid w:val="4DE60D60"/>
    <w:rsid w:val="4E767FEC"/>
    <w:rsid w:val="4E9764FE"/>
    <w:rsid w:val="4EA604F0"/>
    <w:rsid w:val="4EAE534F"/>
    <w:rsid w:val="4F554A5A"/>
    <w:rsid w:val="4FC43323"/>
    <w:rsid w:val="4FE259C3"/>
    <w:rsid w:val="4FE70DC0"/>
    <w:rsid w:val="50410728"/>
    <w:rsid w:val="50741D0D"/>
    <w:rsid w:val="50CB57EC"/>
    <w:rsid w:val="51213897"/>
    <w:rsid w:val="51302EB1"/>
    <w:rsid w:val="51605C8F"/>
    <w:rsid w:val="51786173"/>
    <w:rsid w:val="51D830B6"/>
    <w:rsid w:val="51DB7DCB"/>
    <w:rsid w:val="530C3017"/>
    <w:rsid w:val="53616121"/>
    <w:rsid w:val="53D12677"/>
    <w:rsid w:val="546319C0"/>
    <w:rsid w:val="54882B71"/>
    <w:rsid w:val="54982DA4"/>
    <w:rsid w:val="54A0435F"/>
    <w:rsid w:val="54CA2659"/>
    <w:rsid w:val="55244387"/>
    <w:rsid w:val="553B4087"/>
    <w:rsid w:val="56FE536D"/>
    <w:rsid w:val="57377173"/>
    <w:rsid w:val="57786450"/>
    <w:rsid w:val="57AA755D"/>
    <w:rsid w:val="57AC301B"/>
    <w:rsid w:val="58BE3ED7"/>
    <w:rsid w:val="58E43968"/>
    <w:rsid w:val="59605937"/>
    <w:rsid w:val="5A1E117D"/>
    <w:rsid w:val="5A332B09"/>
    <w:rsid w:val="5AB230A3"/>
    <w:rsid w:val="5AD92379"/>
    <w:rsid w:val="5B231846"/>
    <w:rsid w:val="5B9718EC"/>
    <w:rsid w:val="5BAD0750"/>
    <w:rsid w:val="5C3D6937"/>
    <w:rsid w:val="5C8E7193"/>
    <w:rsid w:val="5CE473DE"/>
    <w:rsid w:val="5D2B6790"/>
    <w:rsid w:val="5D7B5A1F"/>
    <w:rsid w:val="5E6737F7"/>
    <w:rsid w:val="5EE25574"/>
    <w:rsid w:val="5F30008D"/>
    <w:rsid w:val="5FD0361E"/>
    <w:rsid w:val="60465BC5"/>
    <w:rsid w:val="60624BBE"/>
    <w:rsid w:val="61A41674"/>
    <w:rsid w:val="62D47FB0"/>
    <w:rsid w:val="6339092C"/>
    <w:rsid w:val="633C4270"/>
    <w:rsid w:val="6350552A"/>
    <w:rsid w:val="638645A3"/>
    <w:rsid w:val="640843A9"/>
    <w:rsid w:val="66862C89"/>
    <w:rsid w:val="67706416"/>
    <w:rsid w:val="68442A77"/>
    <w:rsid w:val="68704276"/>
    <w:rsid w:val="68C428EC"/>
    <w:rsid w:val="6938470E"/>
    <w:rsid w:val="69C06050"/>
    <w:rsid w:val="69F161AE"/>
    <w:rsid w:val="6AB73D58"/>
    <w:rsid w:val="6B2323B7"/>
    <w:rsid w:val="6B233FC3"/>
    <w:rsid w:val="6B621F16"/>
    <w:rsid w:val="6D4A2C62"/>
    <w:rsid w:val="6D797040"/>
    <w:rsid w:val="6DD651BB"/>
    <w:rsid w:val="6E1F50EF"/>
    <w:rsid w:val="6F437969"/>
    <w:rsid w:val="6F437C60"/>
    <w:rsid w:val="6F4E208B"/>
    <w:rsid w:val="6F83245B"/>
    <w:rsid w:val="70922830"/>
    <w:rsid w:val="73067AFF"/>
    <w:rsid w:val="73397A01"/>
    <w:rsid w:val="73625586"/>
    <w:rsid w:val="744321B9"/>
    <w:rsid w:val="747B7FE4"/>
    <w:rsid w:val="75681CDE"/>
    <w:rsid w:val="75F66437"/>
    <w:rsid w:val="766A3EE3"/>
    <w:rsid w:val="76EE7538"/>
    <w:rsid w:val="77163BB5"/>
    <w:rsid w:val="7771278D"/>
    <w:rsid w:val="780F6F82"/>
    <w:rsid w:val="783469E8"/>
    <w:rsid w:val="78615304"/>
    <w:rsid w:val="79A34CE9"/>
    <w:rsid w:val="79DB7C50"/>
    <w:rsid w:val="79F24465"/>
    <w:rsid w:val="7A5073DE"/>
    <w:rsid w:val="7B931792"/>
    <w:rsid w:val="7BBD2838"/>
    <w:rsid w:val="7C020E55"/>
    <w:rsid w:val="7C82251D"/>
    <w:rsid w:val="7C944118"/>
    <w:rsid w:val="7CA51C63"/>
    <w:rsid w:val="7CFC5D4D"/>
    <w:rsid w:val="7D1110A6"/>
    <w:rsid w:val="7D3B6123"/>
    <w:rsid w:val="7DD520D4"/>
    <w:rsid w:val="7EB0669D"/>
    <w:rsid w:val="7FA06711"/>
    <w:rsid w:val="7FC46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53"/>
    <w:qFormat/>
    <w:uiPriority w:val="0"/>
    <w:pPr>
      <w:keepNext/>
      <w:keepLines/>
      <w:tabs>
        <w:tab w:val="left" w:pos="1380"/>
      </w:tabs>
      <w:suppressAutoHyphens/>
      <w:spacing w:before="260" w:after="260" w:line="413" w:lineRule="auto"/>
      <w:ind w:left="1380" w:hanging="420"/>
      <w:jc w:val="left"/>
      <w:textAlignment w:val="baseline"/>
      <w:outlineLvl w:val="1"/>
    </w:pPr>
    <w:rPr>
      <w:rFonts w:ascii="Arial" w:hAnsi="Arial" w:eastAsia="黑体"/>
      <w:b/>
      <w:bCs/>
      <w:w w:val="80"/>
      <w:kern w:val="1"/>
      <w:sz w:val="32"/>
      <w:szCs w:val="32"/>
    </w:rPr>
  </w:style>
  <w:style w:type="paragraph" w:styleId="4">
    <w:name w:val="heading 3"/>
    <w:basedOn w:val="1"/>
    <w:next w:val="1"/>
    <w:qFormat/>
    <w:uiPriority w:val="0"/>
    <w:pPr>
      <w:keepNext/>
      <w:keepLines/>
      <w:tabs>
        <w:tab w:val="left" w:pos="1800"/>
      </w:tabs>
      <w:suppressAutoHyphens/>
      <w:spacing w:before="260" w:after="260" w:line="413" w:lineRule="auto"/>
      <w:ind w:left="1800" w:hanging="420"/>
      <w:jc w:val="left"/>
      <w:textAlignment w:val="baseline"/>
      <w:outlineLvl w:val="2"/>
    </w:pPr>
    <w:rPr>
      <w:rFonts w:cs="Tahoma"/>
      <w:b/>
      <w:bCs/>
      <w:w w:val="80"/>
      <w:kern w:val="1"/>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6"/>
    <w:basedOn w:val="1"/>
    <w:next w:val="1"/>
    <w:qFormat/>
    <w:uiPriority w:val="0"/>
    <w:pPr>
      <w:keepNext/>
      <w:keepLines/>
      <w:widowControl/>
      <w:tabs>
        <w:tab w:val="left" w:pos="1440"/>
      </w:tabs>
      <w:spacing w:before="240" w:after="64" w:line="317" w:lineRule="auto"/>
      <w:ind w:left="1152" w:hanging="1152"/>
      <w:jc w:val="left"/>
      <w:outlineLvl w:val="5"/>
    </w:pPr>
    <w:rPr>
      <w:rFonts w:ascii="Arial" w:hAnsi="Arial" w:eastAsia="黑体"/>
      <w:b/>
      <w:bCs/>
      <w:kern w:val="0"/>
      <w:sz w:val="24"/>
    </w:rPr>
  </w:style>
  <w:style w:type="paragraph" w:styleId="7">
    <w:name w:val="heading 7"/>
    <w:basedOn w:val="1"/>
    <w:next w:val="1"/>
    <w:qFormat/>
    <w:uiPriority w:val="0"/>
    <w:pPr>
      <w:keepNext/>
      <w:keepLines/>
      <w:widowControl/>
      <w:tabs>
        <w:tab w:val="left" w:pos="2520"/>
      </w:tabs>
      <w:spacing w:before="240" w:after="64" w:line="317" w:lineRule="auto"/>
      <w:ind w:left="1296" w:hanging="1296"/>
      <w:jc w:val="left"/>
      <w:outlineLvl w:val="6"/>
    </w:pPr>
    <w:rPr>
      <w:b/>
      <w:bCs/>
      <w:kern w:val="0"/>
      <w:sz w:val="24"/>
    </w:rPr>
  </w:style>
  <w:style w:type="paragraph" w:styleId="8">
    <w:name w:val="heading 8"/>
    <w:basedOn w:val="1"/>
    <w:next w:val="1"/>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 w:val="24"/>
    </w:rPr>
  </w:style>
  <w:style w:type="paragraph" w:styleId="9">
    <w:name w:val="heading 9"/>
    <w:basedOn w:val="1"/>
    <w:next w:val="1"/>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Cs w:val="21"/>
    </w:rPr>
  </w:style>
  <w:style w:type="character" w:default="1" w:styleId="40">
    <w:name w:val="Default Paragraph Font"/>
    <w:qFormat/>
    <w:uiPriority w:val="1"/>
  </w:style>
  <w:style w:type="table" w:default="1" w:styleId="38">
    <w:name w:val="Normal Table"/>
    <w:qFormat/>
    <w:uiPriority w:val="99"/>
    <w:tblPr>
      <w:tblCellMar>
        <w:top w:w="0" w:type="dxa"/>
        <w:left w:w="108" w:type="dxa"/>
        <w:bottom w:w="0" w:type="dxa"/>
        <w:right w:w="108" w:type="dxa"/>
      </w:tblCellMar>
    </w:tblPr>
  </w:style>
  <w:style w:type="paragraph" w:styleId="10">
    <w:name w:val="toc 7"/>
    <w:basedOn w:val="1"/>
    <w:next w:val="1"/>
    <w:qFormat/>
    <w:uiPriority w:val="0"/>
    <w:pPr>
      <w:ind w:left="2520" w:leftChars="1200"/>
    </w:pPr>
  </w:style>
  <w:style w:type="paragraph" w:styleId="11">
    <w:name w:val="annotation text"/>
    <w:basedOn w:val="1"/>
    <w:link w:val="48"/>
    <w:qFormat/>
    <w:uiPriority w:val="0"/>
    <w:pPr>
      <w:jc w:val="left"/>
    </w:pPr>
  </w:style>
  <w:style w:type="paragraph" w:styleId="12">
    <w:name w:val="Body Text"/>
    <w:basedOn w:val="1"/>
    <w:next w:val="1"/>
    <w:qFormat/>
    <w:uiPriority w:val="0"/>
    <w:pPr>
      <w:adjustRightInd w:val="0"/>
      <w:spacing w:after="60" w:line="360" w:lineRule="atLeast"/>
      <w:ind w:left="72" w:leftChars="30" w:right="30" w:rightChars="30"/>
      <w:jc w:val="center"/>
      <w:textAlignment w:val="baseline"/>
    </w:pPr>
    <w:rPr>
      <w:rFonts w:ascii="Times New Roman" w:hAnsi="Times New Roman" w:eastAsia="宋体" w:cs="Times New Roman"/>
      <w:kern w:val="0"/>
      <w:sz w:val="20"/>
      <w:szCs w:val="20"/>
    </w:rPr>
  </w:style>
  <w:style w:type="paragraph" w:styleId="13">
    <w:name w:val="Body Text Indent"/>
    <w:basedOn w:val="1"/>
    <w:next w:val="1"/>
    <w:qFormat/>
    <w:uiPriority w:val="0"/>
    <w:pPr>
      <w:ind w:firstLine="480"/>
    </w:pPr>
    <w:rPr>
      <w:rFonts w:ascii="宋体" w:hAnsi="宋体"/>
      <w:sz w:val="30"/>
    </w:rPr>
  </w:style>
  <w:style w:type="paragraph" w:styleId="14">
    <w:name w:val="toc 5"/>
    <w:basedOn w:val="1"/>
    <w:next w:val="1"/>
    <w:qFormat/>
    <w:uiPriority w:val="0"/>
    <w:pPr>
      <w:ind w:left="1680" w:leftChars="800"/>
    </w:pPr>
  </w:style>
  <w:style w:type="paragraph" w:styleId="15">
    <w:name w:val="toc 3"/>
    <w:basedOn w:val="1"/>
    <w:next w:val="1"/>
    <w:qFormat/>
    <w:uiPriority w:val="0"/>
    <w:pPr>
      <w:ind w:left="840" w:leftChars="400"/>
    </w:pPr>
  </w:style>
  <w:style w:type="paragraph" w:styleId="16">
    <w:name w:val="Plain Text"/>
    <w:basedOn w:val="1"/>
    <w:qFormat/>
    <w:uiPriority w:val="0"/>
    <w:rPr>
      <w:rFonts w:ascii="宋体" w:hAnsi="Courier New"/>
      <w:szCs w:val="20"/>
    </w:rPr>
  </w:style>
  <w:style w:type="paragraph" w:styleId="17">
    <w:name w:val="toc 8"/>
    <w:basedOn w:val="1"/>
    <w:next w:val="1"/>
    <w:qFormat/>
    <w:uiPriority w:val="0"/>
    <w:pPr>
      <w:ind w:left="2940" w:leftChars="1400"/>
    </w:pPr>
  </w:style>
  <w:style w:type="paragraph" w:styleId="18">
    <w:name w:val="Date"/>
    <w:basedOn w:val="1"/>
    <w:next w:val="1"/>
    <w:qFormat/>
    <w:uiPriority w:val="0"/>
    <w:pPr>
      <w:ind w:left="100" w:leftChars="2500"/>
    </w:pPr>
    <w:rPr>
      <w:rFonts w:ascii="楷体_GB2312"/>
      <w:sz w:val="36"/>
    </w:rPr>
  </w:style>
  <w:style w:type="paragraph" w:styleId="19">
    <w:name w:val="Body Text Indent 2"/>
    <w:basedOn w:val="1"/>
    <w:qFormat/>
    <w:uiPriority w:val="0"/>
    <w:pPr>
      <w:spacing w:line="400" w:lineRule="exact"/>
      <w:ind w:firstLine="840" w:firstLineChars="400"/>
    </w:pPr>
    <w:rPr>
      <w:rFonts w:ascii="宋体" w:hAnsi="宋体"/>
    </w:rPr>
  </w:style>
  <w:style w:type="paragraph" w:styleId="20">
    <w:name w:val="Balloon Text"/>
    <w:basedOn w:val="1"/>
    <w:qFormat/>
    <w:uiPriority w:val="0"/>
    <w:rPr>
      <w:sz w:val="18"/>
      <w:szCs w:val="18"/>
    </w:rPr>
  </w:style>
  <w:style w:type="paragraph" w:styleId="21">
    <w:name w:val="footer"/>
    <w:basedOn w:val="1"/>
    <w:link w:val="51"/>
    <w:qFormat/>
    <w:uiPriority w:val="99"/>
    <w:pPr>
      <w:tabs>
        <w:tab w:val="center" w:pos="4153"/>
        <w:tab w:val="right" w:pos="8306"/>
      </w:tabs>
      <w:snapToGrid w:val="0"/>
      <w:jc w:val="left"/>
    </w:pPr>
    <w:rPr>
      <w:sz w:val="18"/>
      <w:szCs w:val="18"/>
    </w:rPr>
  </w:style>
  <w:style w:type="paragraph" w:styleId="22">
    <w:name w:val="envelope return"/>
    <w:basedOn w:val="1"/>
    <w:qFormat/>
    <w:uiPriority w:val="0"/>
    <w:pPr>
      <w:snapToGrid w:val="0"/>
    </w:pPr>
    <w:rPr>
      <w:rFonts w:ascii="Arial" w:hAnsi="Arial" w:eastAsia="宋体" w:cs="Times New Roman"/>
    </w:rPr>
  </w:style>
  <w:style w:type="paragraph" w:styleId="23">
    <w:name w:val="header"/>
    <w:basedOn w:val="1"/>
    <w:link w:val="47"/>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24">
    <w:name w:val="toc 1"/>
    <w:basedOn w:val="2"/>
    <w:next w:val="1"/>
    <w:qFormat/>
    <w:uiPriority w:val="0"/>
    <w:pPr>
      <w:spacing w:before="0" w:after="0" w:line="240" w:lineRule="auto"/>
    </w:pPr>
    <w:rPr>
      <w:sz w:val="24"/>
    </w:rPr>
  </w:style>
  <w:style w:type="paragraph" w:styleId="25">
    <w:name w:val="toc 4"/>
    <w:basedOn w:val="1"/>
    <w:next w:val="1"/>
    <w:qFormat/>
    <w:uiPriority w:val="0"/>
    <w:pPr>
      <w:ind w:left="1260" w:leftChars="600"/>
    </w:pPr>
  </w:style>
  <w:style w:type="paragraph" w:styleId="26">
    <w:name w:val="footnote text"/>
    <w:basedOn w:val="1"/>
    <w:qFormat/>
    <w:uiPriority w:val="0"/>
    <w:pPr>
      <w:snapToGrid w:val="0"/>
      <w:jc w:val="left"/>
    </w:pPr>
    <w:rPr>
      <w:sz w:val="18"/>
      <w:szCs w:val="18"/>
    </w:rPr>
  </w:style>
  <w:style w:type="paragraph" w:styleId="27">
    <w:name w:val="toc 6"/>
    <w:basedOn w:val="1"/>
    <w:next w:val="1"/>
    <w:qFormat/>
    <w:uiPriority w:val="0"/>
    <w:pPr>
      <w:ind w:left="2100" w:leftChars="1000"/>
    </w:pPr>
  </w:style>
  <w:style w:type="paragraph" w:styleId="28">
    <w:name w:val="Body Text Indent 3"/>
    <w:basedOn w:val="1"/>
    <w:qFormat/>
    <w:uiPriority w:val="0"/>
    <w:pPr>
      <w:spacing w:line="400" w:lineRule="exact"/>
      <w:ind w:left="2" w:leftChars="1"/>
    </w:pPr>
    <w:rPr>
      <w:rFonts w:ascii="宋体" w:hAnsi="宋体"/>
      <w:szCs w:val="20"/>
    </w:rPr>
  </w:style>
  <w:style w:type="paragraph" w:styleId="29">
    <w:name w:val="toc 2"/>
    <w:basedOn w:val="1"/>
    <w:next w:val="1"/>
    <w:qFormat/>
    <w:uiPriority w:val="0"/>
    <w:pPr>
      <w:ind w:left="420" w:leftChars="200"/>
    </w:pPr>
  </w:style>
  <w:style w:type="paragraph" w:styleId="30">
    <w:name w:val="toc 9"/>
    <w:basedOn w:val="1"/>
    <w:next w:val="1"/>
    <w:qFormat/>
    <w:uiPriority w:val="0"/>
    <w:pPr>
      <w:ind w:left="3360" w:leftChars="1600"/>
    </w:pPr>
  </w:style>
  <w:style w:type="paragraph" w:styleId="31">
    <w:name w:val="Body Text 2"/>
    <w:basedOn w:val="1"/>
    <w:qFormat/>
    <w:uiPriority w:val="0"/>
    <w:rPr>
      <w:rFonts w:ascii="宋体" w:hAnsi="宋体"/>
      <w:sz w:val="30"/>
      <w:szCs w:val="20"/>
    </w:rPr>
  </w:style>
  <w:style w:type="paragraph" w:styleId="32">
    <w:name w:val="Normal (Web)"/>
    <w:basedOn w:val="1"/>
    <w:qFormat/>
    <w:uiPriority w:val="0"/>
    <w:pPr>
      <w:widowControl/>
      <w:spacing w:before="100" w:beforeAutospacing="1" w:after="100" w:afterAutospacing="1"/>
      <w:jc w:val="left"/>
    </w:pPr>
    <w:rPr>
      <w:kern w:val="0"/>
      <w:sz w:val="24"/>
    </w:rPr>
  </w:style>
  <w:style w:type="paragraph" w:styleId="33">
    <w:name w:val="Title"/>
    <w:basedOn w:val="1"/>
    <w:qFormat/>
    <w:uiPriority w:val="0"/>
    <w:pPr>
      <w:spacing w:before="240" w:after="60"/>
      <w:jc w:val="center"/>
      <w:outlineLvl w:val="0"/>
    </w:pPr>
    <w:rPr>
      <w:rFonts w:ascii="Arial" w:hAnsi="Arial" w:eastAsia="隶书" w:cs="Arial"/>
      <w:b/>
      <w:bCs/>
      <w:sz w:val="32"/>
      <w:szCs w:val="32"/>
    </w:rPr>
  </w:style>
  <w:style w:type="paragraph" w:styleId="34">
    <w:name w:val="annotation subject"/>
    <w:basedOn w:val="11"/>
    <w:next w:val="11"/>
    <w:qFormat/>
    <w:uiPriority w:val="0"/>
    <w:rPr>
      <w:b/>
      <w:bCs/>
    </w:rPr>
  </w:style>
  <w:style w:type="paragraph" w:styleId="35">
    <w:name w:val="Body Text First Indent 2"/>
    <w:basedOn w:val="13"/>
    <w:next w:val="36"/>
    <w:qFormat/>
    <w:uiPriority w:val="0"/>
    <w:pPr>
      <w:ind w:firstLine="420" w:firstLineChars="200"/>
    </w:pPr>
    <w:rPr>
      <w:rFonts w:ascii="Times New Roman" w:hAnsi="Times New Roman" w:eastAsia="宋体" w:cs="Times New Roman"/>
    </w:rPr>
  </w:style>
  <w:style w:type="paragraph" w:customStyle="1" w:styleId="36">
    <w:name w:val="正文1"/>
    <w:basedOn w:val="37"/>
    <w:qFormat/>
    <w:uiPriority w:val="0"/>
    <w:pPr>
      <w:spacing w:line="360" w:lineRule="auto"/>
      <w:ind w:firstLine="480" w:firstLineChars="200"/>
    </w:pPr>
    <w:rPr>
      <w:sz w:val="24"/>
    </w:rPr>
  </w:style>
  <w:style w:type="paragraph" w:customStyle="1" w:styleId="37">
    <w:name w:val="正文_0"/>
    <w:next w:val="35"/>
    <w:qFormat/>
    <w:uiPriority w:val="0"/>
    <w:pPr>
      <w:widowControl w:val="0"/>
      <w:jc w:val="both"/>
    </w:pPr>
    <w:rPr>
      <w:rFonts w:ascii="Times New Roman" w:hAnsi="Times New Roman" w:eastAsia="宋体" w:cs="Times New Roman"/>
      <w:kern w:val="2"/>
      <w:sz w:val="21"/>
      <w:szCs w:val="24"/>
      <w:lang w:val="en-US" w:eastAsia="zh-CN" w:bidi="ar-SA"/>
    </w:rPr>
  </w:style>
  <w:style w:type="table" w:styleId="39">
    <w:name w:val="Table Grid"/>
    <w:basedOn w:val="3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1">
    <w:name w:val="Strong"/>
    <w:qFormat/>
    <w:uiPriority w:val="0"/>
    <w:rPr>
      <w:b/>
      <w:bCs/>
    </w:rPr>
  </w:style>
  <w:style w:type="character" w:styleId="42">
    <w:name w:val="page number"/>
    <w:basedOn w:val="40"/>
    <w:qFormat/>
    <w:uiPriority w:val="0"/>
  </w:style>
  <w:style w:type="character" w:styleId="43">
    <w:name w:val="FollowedHyperlink"/>
    <w:qFormat/>
    <w:uiPriority w:val="0"/>
    <w:rPr>
      <w:color w:val="676E74"/>
      <w:u w:val="none"/>
    </w:rPr>
  </w:style>
  <w:style w:type="character" w:styleId="44">
    <w:name w:val="Hyperlink"/>
    <w:qFormat/>
    <w:uiPriority w:val="0"/>
    <w:rPr>
      <w:color w:val="676E74"/>
      <w:u w:val="none"/>
    </w:rPr>
  </w:style>
  <w:style w:type="character" w:styleId="45">
    <w:name w:val="annotation reference"/>
    <w:qFormat/>
    <w:uiPriority w:val="0"/>
    <w:rPr>
      <w:sz w:val="21"/>
      <w:szCs w:val="21"/>
    </w:rPr>
  </w:style>
  <w:style w:type="character" w:styleId="46">
    <w:name w:val="footnote reference"/>
    <w:qFormat/>
    <w:uiPriority w:val="0"/>
    <w:rPr>
      <w:vertAlign w:val="superscript"/>
    </w:rPr>
  </w:style>
  <w:style w:type="character" w:customStyle="1" w:styleId="47">
    <w:name w:val="页眉 Char"/>
    <w:link w:val="23"/>
    <w:qFormat/>
    <w:uiPriority w:val="0"/>
    <w:rPr>
      <w:rFonts w:eastAsia="楷体_GB2312"/>
      <w:kern w:val="2"/>
      <w:sz w:val="18"/>
      <w:lang w:val="en-US" w:eastAsia="zh-CN" w:bidi="ar-SA"/>
    </w:rPr>
  </w:style>
  <w:style w:type="character" w:customStyle="1" w:styleId="48">
    <w:name w:val="批注文字 Char"/>
    <w:link w:val="11"/>
    <w:qFormat/>
    <w:uiPriority w:val="0"/>
    <w:rPr>
      <w:rFonts w:eastAsia="宋体"/>
      <w:kern w:val="2"/>
      <w:sz w:val="21"/>
      <w:szCs w:val="24"/>
      <w:lang w:val="en-US" w:eastAsia="zh-CN" w:bidi="ar-SA"/>
    </w:rPr>
  </w:style>
  <w:style w:type="character" w:customStyle="1" w:styleId="49">
    <w:name w:val="标题 1 Char"/>
    <w:link w:val="2"/>
    <w:qFormat/>
    <w:uiPriority w:val="0"/>
    <w:rPr>
      <w:b/>
      <w:bCs/>
      <w:kern w:val="44"/>
      <w:sz w:val="44"/>
      <w:szCs w:val="44"/>
    </w:rPr>
  </w:style>
  <w:style w:type="character" w:customStyle="1" w:styleId="50">
    <w:name w:val="down1"/>
    <w:qFormat/>
    <w:uiPriority w:val="0"/>
    <w:rPr>
      <w:b/>
      <w:color w:val="E26306"/>
      <w:u w:val="none"/>
    </w:rPr>
  </w:style>
  <w:style w:type="character" w:customStyle="1" w:styleId="51">
    <w:name w:val="页脚 Char"/>
    <w:link w:val="21"/>
    <w:qFormat/>
    <w:uiPriority w:val="99"/>
    <w:rPr>
      <w:kern w:val="2"/>
      <w:sz w:val="18"/>
      <w:szCs w:val="18"/>
    </w:rPr>
  </w:style>
  <w:style w:type="character" w:customStyle="1" w:styleId="52">
    <w:name w:val="down"/>
    <w:basedOn w:val="40"/>
    <w:qFormat/>
    <w:uiPriority w:val="0"/>
  </w:style>
  <w:style w:type="character" w:customStyle="1" w:styleId="53">
    <w:name w:val="标题 2 Char"/>
    <w:link w:val="3"/>
    <w:qFormat/>
    <w:uiPriority w:val="0"/>
    <w:rPr>
      <w:rFonts w:ascii="Arial" w:hAnsi="Arial" w:eastAsia="黑体" w:cs="Tahoma"/>
      <w:b/>
      <w:bCs/>
      <w:w w:val="80"/>
      <w:kern w:val="1"/>
      <w:sz w:val="32"/>
      <w:szCs w:val="32"/>
    </w:rPr>
  </w:style>
  <w:style w:type="character" w:customStyle="1" w:styleId="54">
    <w:name w:val="down01"/>
    <w:qFormat/>
    <w:uiPriority w:val="0"/>
    <w:rPr>
      <w:b/>
      <w:color w:val="FFFFFF"/>
    </w:rPr>
  </w:style>
  <w:style w:type="character" w:customStyle="1" w:styleId="55">
    <w:name w:val="down0"/>
    <w:basedOn w:val="40"/>
    <w:qFormat/>
    <w:uiPriority w:val="0"/>
  </w:style>
  <w:style w:type="paragraph" w:customStyle="1" w:styleId="56">
    <w:name w:val="列出段落1"/>
    <w:basedOn w:val="1"/>
    <w:qFormat/>
    <w:uiPriority w:val="99"/>
    <w:pPr>
      <w:ind w:firstLine="420" w:firstLineChars="200"/>
    </w:pPr>
    <w:rPr>
      <w:szCs w:val="22"/>
    </w:rPr>
  </w:style>
  <w:style w:type="paragraph" w:customStyle="1" w:styleId="57">
    <w:name w:val="_Style 21"/>
    <w:basedOn w:val="1"/>
    <w:next w:val="1"/>
    <w:qFormat/>
    <w:uiPriority w:val="0"/>
    <w:rPr>
      <w:szCs w:val="20"/>
    </w:rPr>
  </w:style>
  <w:style w:type="paragraph" w:customStyle="1" w:styleId="58">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59">
    <w:name w:val="Char Char Char Char"/>
    <w:basedOn w:val="1"/>
    <w:qFormat/>
    <w:uiPriority w:val="0"/>
    <w:rPr>
      <w:rFonts w:ascii="Tahoma" w:hAnsi="Tahoma"/>
      <w:sz w:val="24"/>
      <w:szCs w:val="20"/>
    </w:rPr>
  </w:style>
  <w:style w:type="paragraph" w:customStyle="1" w:styleId="60">
    <w:name w:val="默认段落字体 Para Char Char"/>
    <w:basedOn w:val="1"/>
    <w:qFormat/>
    <w:uiPriority w:val="0"/>
    <w:pPr>
      <w:widowControl/>
      <w:snapToGrid w:val="0"/>
      <w:ind w:left="-3" w:right="-28" w:rightChars="-10"/>
    </w:pPr>
    <w:rPr>
      <w:rFonts w:ascii="Tahoma" w:hAnsi="Tahoma" w:cs="Tahoma"/>
      <w:sz w:val="24"/>
    </w:rPr>
  </w:style>
  <w:style w:type="paragraph" w:customStyle="1" w:styleId="61">
    <w:name w:val="xl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62">
    <w:name w:val="Char"/>
    <w:basedOn w:val="1"/>
    <w:qFormat/>
    <w:uiPriority w:val="0"/>
    <w:pPr>
      <w:spacing w:line="360" w:lineRule="auto"/>
      <w:ind w:firstLine="480" w:firstLineChars="200"/>
    </w:pPr>
    <w:rPr>
      <w:rFonts w:ascii="宋体" w:hAnsi="宋体" w:eastAsia="楷体_GB2312"/>
      <w:sz w:val="24"/>
      <w:szCs w:val="21"/>
    </w:rPr>
  </w:style>
  <w:style w:type="paragraph" w:customStyle="1" w:styleId="63">
    <w:name w:val="正文 A"/>
    <w:qFormat/>
    <w:uiPriority w:val="0"/>
    <w:rPr>
      <w:rFonts w:ascii="Times New Roman" w:hAnsi="Times New Roman" w:eastAsia="Calibri" w:cs="Calibri"/>
      <w:color w:val="000000"/>
      <w:sz w:val="24"/>
      <w:szCs w:val="24"/>
      <w:u w:color="000000"/>
      <w:lang w:val="en-US" w:eastAsia="zh-CN" w:bidi="ar-SA"/>
    </w:rPr>
  </w:style>
  <w:style w:type="paragraph" w:customStyle="1" w:styleId="64">
    <w:name w:val="6 Char Char Char Char Char Char Char1 Char Char Char Char Char Char Char Char Char Char Char Char Char Char Char"/>
    <w:basedOn w:val="1"/>
    <w:qFormat/>
    <w:uiPriority w:val="0"/>
    <w:pPr>
      <w:widowControl/>
      <w:spacing w:after="160" w:line="240" w:lineRule="exact"/>
      <w:jc w:val="left"/>
    </w:pPr>
    <w:rPr>
      <w:szCs w:val="20"/>
    </w:rPr>
  </w:style>
  <w:style w:type="paragraph" w:customStyle="1" w:styleId="65">
    <w:name w:val="首行缩进"/>
    <w:basedOn w:val="1"/>
    <w:qFormat/>
    <w:uiPriority w:val="0"/>
    <w:pPr>
      <w:ind w:firstLine="480" w:firstLineChars="200"/>
    </w:pPr>
    <w:rPr>
      <w:rFonts w:ascii="Times New Roman" w:hAnsi="Times New Roman" w:eastAsia="宋体" w:cs="Times New Roman"/>
      <w:lang w:val="zh-CN"/>
    </w:rPr>
  </w:style>
  <w:style w:type="paragraph" w:customStyle="1" w:styleId="66">
    <w:name w:val="Normal_2"/>
    <w:qFormat/>
    <w:uiPriority w:val="0"/>
    <w:rPr>
      <w:rFonts w:ascii="Times New Roman" w:hAnsi="Times New Roman" w:eastAsia="Times New Roman" w:cs="Times New Roman"/>
      <w:kern w:val="0"/>
      <w:sz w:val="24"/>
      <w:szCs w:val="24"/>
      <w:lang w:val="en-US" w:eastAsia="zh-CN" w:bidi="ar-SA"/>
    </w:rPr>
  </w:style>
  <w:style w:type="character" w:customStyle="1" w:styleId="67">
    <w:name w:val="font31"/>
    <w:basedOn w:val="40"/>
    <w:qFormat/>
    <w:uiPriority w:val="0"/>
    <w:rPr>
      <w:rFonts w:hint="eastAsia" w:ascii="仿宋" w:hAnsi="仿宋" w:eastAsia="仿宋" w:cs="仿宋"/>
      <w:b/>
      <w:bCs/>
      <w:color w:val="000000"/>
      <w:sz w:val="18"/>
      <w:szCs w:val="18"/>
      <w:u w:val="none"/>
    </w:rPr>
  </w:style>
  <w:style w:type="character" w:customStyle="1" w:styleId="68">
    <w:name w:val="font21"/>
    <w:basedOn w:val="40"/>
    <w:qFormat/>
    <w:uiPriority w:val="0"/>
    <w:rPr>
      <w:rFonts w:hint="eastAsia" w:ascii="仿宋" w:hAnsi="仿宋" w:eastAsia="仿宋" w:cs="仿宋"/>
      <w:b/>
      <w:bCs/>
      <w:color w:val="000000"/>
      <w:sz w:val="20"/>
      <w:szCs w:val="20"/>
      <w:u w:val="none"/>
    </w:rPr>
  </w:style>
  <w:style w:type="paragraph" w:customStyle="1" w:styleId="69">
    <w:name w:val="Normal_0"/>
    <w:qFormat/>
    <w:uiPriority w:val="0"/>
    <w:rPr>
      <w:rFonts w:ascii="Times New Roman" w:hAnsi="Times New Roman" w:eastAsia="宋体" w:cs="Times New Roman"/>
      <w:sz w:val="24"/>
      <w:szCs w:val="24"/>
      <w:lang w:val="en-US" w:eastAsia="zh-CN" w:bidi="ar-SA"/>
    </w:rPr>
  </w:style>
  <w:style w:type="paragraph" w:customStyle="1" w:styleId="70">
    <w:name w:val="Normal_1"/>
    <w:qFormat/>
    <w:uiPriority w:val="0"/>
    <w:rPr>
      <w:rFonts w:ascii="Times New Roman" w:hAnsi="Times New Roman" w:eastAsia="宋体" w:cs="Times New Roman"/>
      <w:sz w:val="24"/>
      <w:szCs w:val="24"/>
    </w:rPr>
  </w:style>
  <w:style w:type="paragraph" w:customStyle="1" w:styleId="71">
    <w:name w:val="Normal_0_0"/>
    <w:qFormat/>
    <w:uiPriority w:val="0"/>
    <w:rPr>
      <w:rFonts w:ascii="Times New Roman" w:hAnsi="Times New Roman" w:eastAsia="宋体" w:cs="Times New Roman"/>
      <w:sz w:val="24"/>
      <w:szCs w:val="24"/>
      <w:lang w:val="en-US" w:eastAsia="zh-CN" w:bidi="ar-SA"/>
    </w:rPr>
  </w:style>
  <w:style w:type="paragraph" w:customStyle="1" w:styleId="72">
    <w:name w:val="Normal_0_1"/>
    <w:qFormat/>
    <w:uiPriority w:val="0"/>
    <w:rPr>
      <w:rFonts w:ascii="Times New Roman" w:hAnsi="Times New Roman" w:eastAsia="Times New Roman" w:cs="Times New Roman"/>
      <w:sz w:val="24"/>
      <w:szCs w:val="24"/>
      <w:lang w:val="en-US" w:eastAsia="zh-CN" w:bidi="ar-SA"/>
    </w:rPr>
  </w:style>
  <w:style w:type="paragraph" w:customStyle="1" w:styleId="73">
    <w:name w:val="Normal_3"/>
    <w:qFormat/>
    <w:uiPriority w:val="0"/>
    <w:rPr>
      <w:rFonts w:ascii="Times New Roman" w:hAnsi="Times New Roman" w:eastAsia="宋体" w:cs="Times New Roman"/>
      <w:sz w:val="24"/>
      <w:szCs w:val="24"/>
    </w:rPr>
  </w:style>
  <w:style w:type="paragraph" w:customStyle="1" w:styleId="74">
    <w:name w:val="Normal_0_2"/>
    <w:basedOn w:val="1"/>
    <w:qFormat/>
    <w:uiPriority w:val="0"/>
    <w:pPr>
      <w:widowControl/>
      <w:jc w:val="left"/>
    </w:pPr>
    <w:rPr>
      <w:rFonts w:eastAsia="Times New Roman"/>
      <w:kern w:val="0"/>
      <w:sz w:val="24"/>
    </w:rPr>
  </w:style>
  <w:style w:type="paragraph" w:customStyle="1" w:styleId="75">
    <w:name w:val="Normal_4"/>
    <w:qFormat/>
    <w:uiPriority w:val="0"/>
    <w:rPr>
      <w:rFonts w:ascii="Times New Roman" w:hAnsi="Times New Roman" w:eastAsia="宋体" w:cs="Times New Roman"/>
      <w:sz w:val="24"/>
      <w:szCs w:val="24"/>
    </w:rPr>
  </w:style>
  <w:style w:type="paragraph" w:customStyle="1" w:styleId="76">
    <w:name w:val="Normal_0_3"/>
    <w:qFormat/>
    <w:uiPriority w:val="0"/>
    <w:rPr>
      <w:rFonts w:ascii="Times New Roman" w:hAnsi="Times New Roman" w:eastAsia="宋体" w:cs="Times New Roman"/>
      <w:sz w:val="24"/>
      <w:szCs w:val="24"/>
    </w:rPr>
  </w:style>
  <w:style w:type="paragraph" w:customStyle="1" w:styleId="77">
    <w:name w:val="Normal_5"/>
    <w:qFormat/>
    <w:uiPriority w:val="0"/>
    <w:rPr>
      <w:rFonts w:ascii="Times New Roman" w:hAnsi="Times New Roman" w:eastAsia="宋体" w:cs="Times New Roman"/>
      <w:sz w:val="24"/>
      <w:szCs w:val="24"/>
    </w:rPr>
  </w:style>
  <w:style w:type="paragraph" w:customStyle="1" w:styleId="78">
    <w:name w:val="Normal_0_4"/>
    <w:qFormat/>
    <w:uiPriority w:val="0"/>
    <w:rPr>
      <w:rFonts w:ascii="Times New Roman" w:hAnsi="Times New Roman" w:eastAsia="宋体" w:cs="Times New Roman"/>
      <w:sz w:val="24"/>
      <w:szCs w:val="24"/>
    </w:rPr>
  </w:style>
  <w:style w:type="paragraph" w:customStyle="1" w:styleId="79">
    <w:name w:val="Normal_6"/>
    <w:qFormat/>
    <w:uiPriority w:val="0"/>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64</Pages>
  <Words>4164</Words>
  <Characters>4673</Characters>
  <Paragraphs>1101</Paragraphs>
  <TotalTime>17</TotalTime>
  <ScaleCrop>false</ScaleCrop>
  <LinksUpToDate>false</LinksUpToDate>
  <CharactersWithSpaces>4819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2020-03-16T06:40:00Z</dcterms:created>
  <dc:creator>luos</dc:creator>
  <cp:lastModifiedBy>admin</cp:lastModifiedBy>
  <cp:lastPrinted>2024-03-13T06:26:00Z</cp:lastPrinted>
  <dcterms:modified xsi:type="dcterms:W3CDTF">2026-09-08T06:25:36Z</dcterms:modified>
  <dc:title>政 府 采 购</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30DE6459F5FB432CB7E6FE2C4E745F4B_13</vt:lpwstr>
  </property>
  <property fmtid="{D5CDD505-2E9C-101B-9397-08002B2CF9AE}" pid="4" name="KSOTemplateDocerSaveRecord">
    <vt:lpwstr>eyJoZGlkIjoiYmM4Yzg4MTVmMWIwMzA0OGU2OTg4ZjY3N2NjZmFkMjQiLCJ1c2VySWQiOiI1MTU0MTg5NzcifQ==</vt:lpwstr>
  </property>
</Properties>
</file>